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2E8C" w14:textId="77777777" w:rsidR="00177C45" w:rsidRPr="00021EE9" w:rsidRDefault="00177C45">
      <w:pPr>
        <w:pStyle w:val="BodyText"/>
        <w:rPr>
          <w:rFonts w:ascii="Times New Roman"/>
          <w:sz w:val="20"/>
          <w:lang w:val="es-MX"/>
        </w:rPr>
      </w:pPr>
    </w:p>
    <w:p w14:paraId="4569A1DA" w14:textId="77777777" w:rsidR="00177C45" w:rsidRDefault="00A92ECE">
      <w:pPr>
        <w:pStyle w:val="Title"/>
      </w:pPr>
      <w:r>
        <w:t>Pautas de limpieza recomendadas</w:t>
      </w:r>
    </w:p>
    <w:p w14:paraId="0072FEBE" w14:textId="77777777" w:rsidR="00177C45" w:rsidRDefault="00A92ECE">
      <w:pPr>
        <w:spacing w:before="1"/>
        <w:ind w:left="100"/>
        <w:rPr>
          <w:sz w:val="26"/>
        </w:rPr>
      </w:pPr>
      <w:r>
        <w:rPr>
          <w:color w:val="365F91"/>
          <w:sz w:val="26"/>
        </w:rPr>
        <w:t>Pertinente para el recubrimiento arquitectónico de silicona GE SilShield*</w:t>
      </w:r>
    </w:p>
    <w:p w14:paraId="56A36AA1" w14:textId="77777777" w:rsidR="00177C45" w:rsidRDefault="00177C45">
      <w:pPr>
        <w:pStyle w:val="BodyText"/>
        <w:spacing w:before="8"/>
        <w:rPr>
          <w:sz w:val="34"/>
        </w:rPr>
      </w:pPr>
    </w:p>
    <w:p w14:paraId="563E97C0" w14:textId="77777777" w:rsidR="00177C45" w:rsidRDefault="00A92ECE">
      <w:pPr>
        <w:pStyle w:val="Heading1"/>
      </w:pPr>
      <w:r>
        <w:rPr>
          <w:color w:val="233E5F"/>
        </w:rPr>
        <w:t>Objetivo:</w:t>
      </w:r>
    </w:p>
    <w:p w14:paraId="3A509052" w14:textId="77777777" w:rsidR="00177C45" w:rsidRDefault="00A92ECE">
      <w:pPr>
        <w:pStyle w:val="BodyText"/>
        <w:spacing w:before="43"/>
        <w:ind w:left="100" w:right="469"/>
        <w:jc w:val="both"/>
      </w:pPr>
      <w:r>
        <w:t>El objetivo del siguiente procedimiento es ofrecer un conjunto estándar de pautas para limpiar el recubrimiento GE SilShield* ya aplicado que pudiera haberse ensuciado con el paso del tiempo debido a contaminantes transportados por el aire que llegaron (a través de la escorrentía) a la superficie del recubrimiento, o que de cualquier otra forma se hayan acumulado en dicha superficie.</w:t>
      </w:r>
    </w:p>
    <w:p w14:paraId="3FBD5F06" w14:textId="77777777" w:rsidR="00177C45" w:rsidRDefault="00A92ECE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219"/>
      </w:pPr>
      <w:r>
        <w:t>Con el propietario de la construcción o el representante/asesor del propietario seleccionen y acuerden en qué lugares del sitio se harán pruebas.</w:t>
      </w:r>
    </w:p>
    <w:p w14:paraId="5EF33CB9" w14:textId="77777777" w:rsidR="00177C45" w:rsidRDefault="00A92ECE">
      <w:pPr>
        <w:pStyle w:val="ListParagraph"/>
        <w:numPr>
          <w:ilvl w:val="0"/>
          <w:numId w:val="2"/>
        </w:numPr>
        <w:tabs>
          <w:tab w:val="left" w:pos="821"/>
        </w:tabs>
        <w:ind w:right="143"/>
      </w:pPr>
      <w:r>
        <w:t>Lave a presión el recubrimiento usando un chorro de agua con una presión máxima de 500 psi y manteniendo la punta del lavador a una distancia de por lo menos 24 in del muro. Al usar técnicas de lavado con una presión entre media y alta, se debe tener especial cuidado para asegurar que los componentes actuales del recubrimiento/fachada no se dañen. Mantener una distancia mínima de 24 in del muro y no dirigir el chorro al muro a un ángulo agudo debería minimizar cualquier daño al recubrimiento actual y al mismo tiempo lograr que la superficie quede lo suficientemente limpia. Todas las superficies, incluidas las superficies horizontales, verticales y/o inclinadas de repisas, deben limpiarse por igual. Si el objetivo es hacer todo el lavado a presión desde el suelo, se debe tener cuidado para asegurar que todos los puntos se limpien adecuadamente dada la visibilidad limitada desde el suelo.</w:t>
      </w:r>
    </w:p>
    <w:p w14:paraId="346D735A" w14:textId="45C4FB6B" w:rsidR="00177C45" w:rsidRDefault="00A92ECE">
      <w:pPr>
        <w:pStyle w:val="ListParagraph"/>
        <w:numPr>
          <w:ilvl w:val="0"/>
          <w:numId w:val="2"/>
        </w:numPr>
        <w:tabs>
          <w:tab w:val="left" w:pos="821"/>
        </w:tabs>
      </w:pPr>
      <w:r>
        <w:t xml:space="preserve">Si bien la expectativa de lavado a presión indicada más arriba debería bastar para la mayoría de las áreas superficiales, </w:t>
      </w:r>
      <w:r w:rsidR="001874DC">
        <w:t xml:space="preserve">es conveniente que </w:t>
      </w:r>
      <w:r>
        <w:t xml:space="preserve">los puntos donde los contaminantes ambientales transportados por el aire depositados en la superficie han podido acumularse </w:t>
      </w:r>
      <w:r w:rsidR="001874DC">
        <w:t>se agiten</w:t>
      </w:r>
      <w:r>
        <w:t xml:space="preserve"> con un cepillo de cerda suave o toalla húmeda de algodón blanco, o mediante los limpiadores que se enumeran a continuación.</w:t>
      </w:r>
    </w:p>
    <w:p w14:paraId="65EF1DFB" w14:textId="77777777" w:rsidR="00177C45" w:rsidRDefault="00A92ECE">
      <w:pPr>
        <w:pStyle w:val="Heading1"/>
        <w:spacing w:before="40"/>
      </w:pPr>
      <w:r>
        <w:rPr>
          <w:color w:val="233E5F"/>
        </w:rPr>
        <w:t>Agentes limpiadores:</w:t>
      </w:r>
    </w:p>
    <w:p w14:paraId="215E21AB" w14:textId="77777777" w:rsidR="00177C45" w:rsidRDefault="00A92ECE">
      <w:pPr>
        <w:pStyle w:val="BodyText"/>
        <w:spacing w:before="45"/>
        <w:ind w:left="100"/>
      </w:pPr>
      <w:r>
        <w:t>Desengrasante cítrico altamente resistente ZEP</w:t>
      </w:r>
      <w:r>
        <w:rPr>
          <w:vertAlign w:val="superscript"/>
        </w:rPr>
        <w:t>®</w:t>
      </w:r>
      <w:r>
        <w:t>, de uso comercial</w:t>
      </w:r>
    </w:p>
    <w:p w14:paraId="333E5DC9" w14:textId="77777777" w:rsidR="00177C45" w:rsidRDefault="00177C45">
      <w:pPr>
        <w:pStyle w:val="BodyText"/>
        <w:spacing w:before="6"/>
        <w:rPr>
          <w:sz w:val="19"/>
        </w:rPr>
      </w:pPr>
    </w:p>
    <w:p w14:paraId="72309F9B" w14:textId="77777777" w:rsidR="00DF41F8" w:rsidRDefault="00A92E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83"/>
        <w:sectPr w:rsidR="00DF41F8">
          <w:headerReference w:type="default" r:id="rId7"/>
          <w:footerReference w:type="default" r:id="rId8"/>
          <w:pgSz w:w="12240" w:h="15840"/>
          <w:pgMar w:top="2340" w:right="1380" w:bottom="2020" w:left="1340" w:header="1167" w:footer="1825" w:gutter="0"/>
          <w:cols w:space="720"/>
        </w:sectPr>
      </w:pPr>
      <w:r>
        <w:t>Momentive Performance Materials (MPM) ha llevado a cabo pruebas de limpieza sobre el material para determinar la eficacia y la compatibilidad de este limpiador. Las pruebas se llevaron a cabo usando una solución a partes iguales de agua tibia y concentrado cítrico ZEP</w:t>
      </w:r>
      <w:r>
        <w:rPr>
          <w:vertAlign w:val="superscript"/>
        </w:rPr>
        <w:t>®</w:t>
      </w:r>
      <w:r>
        <w:t xml:space="preserve"> en un atomizador. El atomizador se sostuvo a 6 in del recubrimiento y se roció sobre el área sucia del recubrimiento. Inmediatamente se pasó un trapo limpio sobre la superficie hasta eliminar completamente la solución de la superficie. Esta prueba se realizó a lo largo de 10</w:t>
      </w:r>
    </w:p>
    <w:p w14:paraId="7AA0B87D" w14:textId="29B0ED7C" w:rsidR="00177C45" w:rsidRDefault="00A92ECE" w:rsidP="001874DC">
      <w:pPr>
        <w:tabs>
          <w:tab w:val="left" w:pos="820"/>
          <w:tab w:val="left" w:pos="821"/>
        </w:tabs>
        <w:spacing w:before="1"/>
        <w:ind w:left="810" w:right="183"/>
      </w:pPr>
      <w:r>
        <w:lastRenderedPageBreak/>
        <w:t>días. La</w:t>
      </w:r>
      <w:r w:rsidR="00ED0AB8">
        <w:t>s</w:t>
      </w:r>
      <w:r>
        <w:t xml:space="preserve"> prueba</w:t>
      </w:r>
      <w:r w:rsidR="00ED0AB8">
        <w:t>s</w:t>
      </w:r>
      <w:r>
        <w:t xml:space="preserve"> indica</w:t>
      </w:r>
      <w:r w:rsidR="00ED0AB8">
        <w:t>n</w:t>
      </w:r>
      <w:r>
        <w:t xml:space="preserve"> que la solución de agua con el desengrasante y limpiador cítrico de uso comercial ZEP</w:t>
      </w:r>
      <w:r w:rsidRPr="001874DC">
        <w:rPr>
          <w:vertAlign w:val="superscript"/>
        </w:rPr>
        <w:t xml:space="preserve">® </w:t>
      </w:r>
      <w:r w:rsidR="001874DC">
        <w:t>es</w:t>
      </w:r>
      <w:r>
        <w:t xml:space="preserve"> eficaz en eliminar la acumulación normal sobre la superficie del recubrimiento, y el limpiador no ha mostrado señales de incompatibilidad con el recubrimiento SilShield*. Estas pruebas muestran resultados satisfactorios para el uso con el recubrimiento GE SilShield* y el uso de este producto no anulará la garantía limitada del producto de MPM USA Inc.</w:t>
      </w:r>
    </w:p>
    <w:p w14:paraId="74525E92" w14:textId="77777777" w:rsidR="00CC7656" w:rsidRDefault="00CC7656" w:rsidP="00CC7656">
      <w:pPr>
        <w:pStyle w:val="BodyText"/>
        <w:spacing w:before="6"/>
        <w:ind w:left="460"/>
        <w:rPr>
          <w:sz w:val="19"/>
        </w:rPr>
      </w:pPr>
    </w:p>
    <w:p w14:paraId="4ED89B6C" w14:textId="69E64B18" w:rsidR="00177C45" w:rsidRDefault="00A92ECE">
      <w:pPr>
        <w:pStyle w:val="BodyText"/>
        <w:spacing w:before="75"/>
        <w:ind w:left="100"/>
      </w:pPr>
      <w:r>
        <w:t>Detergente para platos (Dawn</w:t>
      </w:r>
      <w:r w:rsidR="00CC7656">
        <w:rPr>
          <w:vertAlign w:val="superscript"/>
        </w:rPr>
        <w:t>®</w:t>
      </w:r>
      <w:r>
        <w:t>), dirigido al consumidor</w:t>
      </w:r>
    </w:p>
    <w:p w14:paraId="66CF6F13" w14:textId="77777777" w:rsidR="00177C45" w:rsidRDefault="00177C45">
      <w:pPr>
        <w:pStyle w:val="BodyText"/>
        <w:spacing w:before="8"/>
        <w:rPr>
          <w:sz w:val="19"/>
        </w:rPr>
      </w:pPr>
    </w:p>
    <w:p w14:paraId="3EE51ADF" w14:textId="7BB772E0" w:rsidR="00177C45" w:rsidRDefault="00A92E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9"/>
      </w:pPr>
      <w:r>
        <w:t>Momentive Performance Materials (MPM) ha llevado a cabo pruebas de limpieza sobre el material para determinar la eficacia y la compatibilidad de este limpiador. Las pruebas se llevaron a cabo usando una solución a partes iguales de agua tibia y detergente para platos (Dawn</w:t>
      </w:r>
      <w:r>
        <w:rPr>
          <w:vertAlign w:val="superscript"/>
        </w:rPr>
        <w:t>®</w:t>
      </w:r>
      <w:r>
        <w:t>), dirigido al consumidor, en un atomizador. El atomizador se sostuvo a 6 in del recubrimiento y se roció sobre el área sucia del recubrimiento. Inmediatamente se pasó un trapo limpio sobre la superficie hasta quitar completamente la solución de la superficie. Esta prueba se realizó a lo largo de 10 días. La</w:t>
      </w:r>
      <w:r w:rsidR="00ED0AB8">
        <w:t>s</w:t>
      </w:r>
      <w:r>
        <w:t xml:space="preserve"> prueba</w:t>
      </w:r>
      <w:r w:rsidR="00ED0AB8">
        <w:t>s</w:t>
      </w:r>
      <w:r>
        <w:t xml:space="preserve"> indica</w:t>
      </w:r>
      <w:r w:rsidR="00ED0AB8">
        <w:t>n</w:t>
      </w:r>
      <w:r>
        <w:t xml:space="preserve"> que la solución de agua con el detergente para platos (Dawn</w:t>
      </w:r>
      <w:r>
        <w:rPr>
          <w:vertAlign w:val="superscript"/>
        </w:rPr>
        <w:t>®</w:t>
      </w:r>
      <w:r>
        <w:t xml:space="preserve">), dirigido al consumidor, </w:t>
      </w:r>
      <w:r w:rsidR="001874DC">
        <w:t>es</w:t>
      </w:r>
      <w:r>
        <w:t xml:space="preserve"> eficaz en eliminar la acumulación normal sobre la superficie del recubrimiento, y el limpiador no ha mostrado señales de incompatibilidad con el recubrimiento SilShield*. Estas pruebas muestran resultados satisfactorios para el uso con el recubrimiento GE SilShield* y el uso de este producto no anulará la garantía limitad del producto de MPM USA Inc.</w:t>
      </w:r>
    </w:p>
    <w:p w14:paraId="7644B739" w14:textId="77777777" w:rsidR="00177C45" w:rsidRDefault="00177C45">
      <w:pPr>
        <w:pStyle w:val="BodyText"/>
        <w:spacing w:before="5"/>
        <w:rPr>
          <w:sz w:val="16"/>
        </w:rPr>
      </w:pPr>
    </w:p>
    <w:p w14:paraId="4535FA38" w14:textId="77777777" w:rsidR="00177C45" w:rsidRDefault="00A92ECE">
      <w:pPr>
        <w:pStyle w:val="BodyText"/>
        <w:ind w:left="100" w:right="192"/>
      </w:pPr>
      <w:r>
        <w:t>Estas pruebas de ninguna forma son inclusivas y no deberán entenderse como una aprobación respaldada por MPM. MPM no sugiere que algún producto o marca específicos sea mejor o peor que otro.</w:t>
      </w:r>
    </w:p>
    <w:p w14:paraId="42CD2191" w14:textId="77777777" w:rsidR="00177C45" w:rsidRDefault="00177C45">
      <w:pPr>
        <w:pStyle w:val="BodyText"/>
      </w:pPr>
    </w:p>
    <w:p w14:paraId="528D8EBE" w14:textId="77777777" w:rsidR="00177C45" w:rsidRDefault="00A92ECE">
      <w:pPr>
        <w:pStyle w:val="BodyText"/>
        <w:spacing w:before="1"/>
        <w:ind w:left="100"/>
      </w:pPr>
      <w:r>
        <w:t>Revise y consulte la ficha técnica de producto de SilShield* para obtener información detallada sobre la aplicación.</w:t>
      </w:r>
    </w:p>
    <w:sectPr w:rsidR="00177C45">
      <w:pgSz w:w="12240" w:h="15840"/>
      <w:pgMar w:top="2340" w:right="1380" w:bottom="2020" w:left="1340" w:header="1167" w:footer="1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8202" w14:textId="77777777" w:rsidR="00954A0A" w:rsidRDefault="00954A0A">
      <w:r>
        <w:separator/>
      </w:r>
    </w:p>
  </w:endnote>
  <w:endnote w:type="continuationSeparator" w:id="0">
    <w:p w14:paraId="0002EABE" w14:textId="77777777" w:rsidR="00954A0A" w:rsidRDefault="0095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66B0" w14:textId="77777777" w:rsidR="00177C45" w:rsidRDefault="00954A0A">
    <w:pPr>
      <w:pStyle w:val="BodyText"/>
      <w:spacing w:line="14" w:lineRule="auto"/>
      <w:rPr>
        <w:sz w:val="20"/>
      </w:rPr>
    </w:pPr>
    <w:r>
      <w:pict w14:anchorId="745F56CE">
        <v:line id="_x0000_s2053" style="position:absolute;z-index:-15770112;mso-position-horizontal-relative:page;mso-position-vertical-relative:page" from="1in,687.35pt" to="540pt,687.35pt" strokecolor="#585858" strokeweight="1.25pt">
          <w10:wrap anchorx="page" anchory="page"/>
        </v:line>
      </w:pict>
    </w:r>
    <w:r>
      <w:pict w14:anchorId="089210A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02.65pt;width:77.65pt;height:19.8pt;z-index:-15769600;mso-position-horizontal-relative:page;mso-position-vertical-relative:page" filled="f" stroked="f">
          <v:textbox inset="0,0,0,0">
            <w:txbxContent>
              <w:p w14:paraId="407ADA62" w14:textId="77777777" w:rsidR="00177C45" w:rsidRDefault="00A92ECE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260 Hudson River Road</w:t>
                </w:r>
              </w:p>
              <w:p w14:paraId="4418BE70" w14:textId="77777777" w:rsidR="00177C45" w:rsidRDefault="00A92ECE">
                <w:pPr>
                  <w:spacing w:line="195" w:lineRule="exact"/>
                  <w:ind w:left="20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Waterford, NY 12188</w:t>
                </w:r>
              </w:p>
            </w:txbxContent>
          </v:textbox>
          <w10:wrap anchorx="page" anchory="page"/>
        </v:shape>
      </w:pict>
    </w:r>
    <w:r>
      <w:pict w14:anchorId="66968FCB">
        <v:shape id="_x0000_s2051" type="#_x0000_t202" style="position:absolute;margin-left:179pt;margin-top:702.65pt;width:128.4pt;height:19.8pt;z-index:-15769088;mso-position-horizontal-relative:page;mso-position-vertical-relative:page" filled="f" stroked="f">
          <v:textbox inset="0,0,0,0">
            <w:txbxContent>
              <w:p w14:paraId="58F1B139" w14:textId="77777777" w:rsidR="00177C45" w:rsidRDefault="00954A0A">
                <w:pPr>
                  <w:spacing w:line="183" w:lineRule="exact"/>
                  <w:ind w:left="20"/>
                  <w:rPr>
                    <w:sz w:val="16"/>
                  </w:rPr>
                </w:pPr>
                <w:hyperlink r:id="rId1">
                  <w:r w:rsidR="00A92ECE">
                    <w:rPr>
                      <w:color w:val="585858"/>
                      <w:sz w:val="16"/>
                    </w:rPr>
                    <w:t>commercial.services@momentive.com</w:t>
                  </w:r>
                </w:hyperlink>
              </w:p>
              <w:p w14:paraId="4B28B4EB" w14:textId="77777777" w:rsidR="00177C45" w:rsidRDefault="00A92ECE">
                <w:pPr>
                  <w:spacing w:line="195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585858"/>
                    <w:sz w:val="16"/>
                  </w:rPr>
                  <w:t>siliconeforbuilding.com</w:t>
                </w:r>
              </w:p>
            </w:txbxContent>
          </v:textbox>
          <w10:wrap anchorx="page" anchory="page"/>
        </v:shape>
      </w:pict>
    </w:r>
    <w:r>
      <w:pict w14:anchorId="39173B82">
        <v:shape id="_x0000_s2050" type="#_x0000_t202" style="position:absolute;margin-left:323.05pt;margin-top:703.45pt;width:198.3pt;height:18.7pt;z-index:-15768576;mso-position-horizontal-relative:page;mso-position-vertical-relative:page" filled="f" stroked="f">
          <v:textbox inset="0,0,0,0">
            <w:txbxContent>
              <w:p w14:paraId="79B0ECDF" w14:textId="77777777" w:rsidR="00177C45" w:rsidRDefault="00A92ECE">
                <w:pPr>
                  <w:spacing w:line="162" w:lineRule="exact"/>
                  <w:ind w:left="20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GE es una marca registrada de General Electric Company</w:t>
                </w:r>
              </w:p>
              <w:p w14:paraId="137C2C9D" w14:textId="77777777" w:rsidR="00177C45" w:rsidRDefault="00A92ECE">
                <w:pPr>
                  <w:spacing w:before="23"/>
                  <w:ind w:left="20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y Momentive Performance Materials Inc. la utiliza bajo licencia.</w:t>
                </w:r>
              </w:p>
            </w:txbxContent>
          </v:textbox>
          <w10:wrap anchorx="page" anchory="page"/>
        </v:shape>
      </w:pict>
    </w:r>
    <w:r>
      <w:pict w14:anchorId="4B52BF1F">
        <v:shape id="_x0000_s2049" type="#_x0000_t202" style="position:absolute;margin-left:524.95pt;margin-top:712.9pt;width:36.95pt;height:9pt;z-index:-15768064;mso-position-horizontal-relative:page;mso-position-vertical-relative:page" filled="f" stroked="f">
          <v:textbox inset="0,0,0,0">
            <w:txbxContent>
              <w:p w14:paraId="241C9A0F" w14:textId="77777777" w:rsidR="00177C45" w:rsidRDefault="00A92ECE">
                <w:pPr>
                  <w:spacing w:line="162" w:lineRule="exact"/>
                  <w:ind w:left="20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Rev. 061418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67E31" w14:textId="77777777" w:rsidR="00954A0A" w:rsidRDefault="00954A0A">
      <w:r>
        <w:separator/>
      </w:r>
    </w:p>
  </w:footnote>
  <w:footnote w:type="continuationSeparator" w:id="0">
    <w:p w14:paraId="4683001F" w14:textId="77777777" w:rsidR="00954A0A" w:rsidRDefault="0095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348A" w14:textId="77777777" w:rsidR="00177C45" w:rsidRDefault="00A92EC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344" behindDoc="1" locked="0" layoutInCell="1" allowOverlap="1" wp14:anchorId="1F0736DC" wp14:editId="72D05D7A">
          <wp:simplePos x="0" y="0"/>
          <wp:positionH relativeFrom="page">
            <wp:posOffset>923549</wp:posOffset>
          </wp:positionH>
          <wp:positionV relativeFrom="page">
            <wp:posOffset>740791</wp:posOffset>
          </wp:positionV>
          <wp:extent cx="2182067" cy="5737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2067" cy="57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A0A">
      <w:pict w14:anchorId="3E9EFD11">
        <v:line id="_x0000_s2054" style="position:absolute;z-index:-15770624;mso-position-horizontal-relative:page;mso-position-vertical-relative:page" from="1in,117pt" to="540pt,117pt" strokecolor="#d9d9d9" strokeweight="1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C1E89"/>
    <w:multiLevelType w:val="hybridMultilevel"/>
    <w:tmpl w:val="4A5891FA"/>
    <w:lvl w:ilvl="0" w:tplc="A0FA17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9A29E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C6508E2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ADE44E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4772314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9E4C618E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F0C67DE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0227D3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FE42B54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3F4B3B"/>
    <w:multiLevelType w:val="hybridMultilevel"/>
    <w:tmpl w:val="A87C1C26"/>
    <w:lvl w:ilvl="0" w:tplc="2C062B1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456629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DA96364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D79C18F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724893A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4ED0EDA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AEAE43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8C49F8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6B5895E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C45"/>
    <w:rsid w:val="00021EE9"/>
    <w:rsid w:val="00177C45"/>
    <w:rsid w:val="001874DC"/>
    <w:rsid w:val="00954A0A"/>
    <w:rsid w:val="00A92ECE"/>
    <w:rsid w:val="00CC7656"/>
    <w:rsid w:val="00DF41F8"/>
    <w:rsid w:val="00E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C9EDAA6"/>
  <w15:docId w15:val="{BC111821-C32D-4B52-A94C-F85AFB72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3"/>
      <w:ind w:left="1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right="10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ercial.services@moment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Sharisa Gustafson</dc:creator>
  <cp:lastModifiedBy>Marco Diaz</cp:lastModifiedBy>
  <cp:revision>6</cp:revision>
  <dcterms:created xsi:type="dcterms:W3CDTF">2021-02-16T00:45:00Z</dcterms:created>
  <dcterms:modified xsi:type="dcterms:W3CDTF">2021-02-17T06:20:00Z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