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Fonts w:ascii="Roboto" w:cs="Roboto" w:eastAsia="Roboto" w:hAnsi="Roboto"/>
        </w:rPr>
        <w:drawing>
          <wp:inline distB="0" distT="0" distL="0" distR="0">
            <wp:extent cx="5756910" cy="163322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56910" cy="163322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4"/>
          <w:szCs w:val="24"/>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 </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650" w:line="488" w:lineRule="auto"/>
        <w:jc w:val="center"/>
        <w:rPr>
          <w:rFonts w:ascii="Roboto" w:cs="Roboto" w:eastAsia="Roboto" w:hAnsi="Roboto"/>
          <w:color w:val="000000"/>
          <w:sz w:val="32"/>
          <w:szCs w:val="32"/>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after="650" w:line="488" w:lineRule="auto"/>
        <w:jc w:val="left"/>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after="650" w:line="488" w:lineRule="auto"/>
        <w:jc w:val="center"/>
        <w:rPr>
          <w:rFonts w:ascii="Roboto" w:cs="Roboto" w:eastAsia="Roboto" w:hAnsi="Roboto"/>
          <w:color w:val="000000"/>
        </w:rPr>
      </w:pPr>
      <w:r w:rsidDel="00000000" w:rsidR="00000000" w:rsidRPr="00000000">
        <w:rPr>
          <w:rFonts w:ascii="Roboto" w:cs="Roboto" w:eastAsia="Roboto" w:hAnsi="Roboto"/>
          <w:color w:val="000000"/>
          <w:sz w:val="32"/>
          <w:szCs w:val="32"/>
          <w:rtl w:val="0"/>
        </w:rPr>
        <w:t xml:space="preserve">QU’EST-CE QUE LA DÉMISSION POUR ORDRE ?</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after="240" w:line="268"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Quand un dirigeant (un administrateur, un directeur général, un gérant, etc.) démissionne de son mandat social, des formalités de publicité doivent être effectuées sous la responsabilité du nouveau représentant légal de la société afin que la cessation des fonctions soit opposable aux tiers.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after="240" w:line="268"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À défaut, l’ancien dirigeant peut régulariser la situation en accomplissant les formalités mentionnées ci-dessous (il y a un intérêt dans la mesure où il reste responsable civilement et pénalement tant qu’elles n’ont pas été enregistrées auprès du greffe du tribunal de commerce du lieu du siège social) : </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after="240" w:line="268" w:lineRule="auto"/>
        <w:ind w:left="358" w:hanging="357"/>
        <w:jc w:val="both"/>
        <w:rPr>
          <w:rFonts w:ascii="Roboto" w:cs="Roboto" w:eastAsia="Roboto" w:hAnsi="Roboto"/>
          <w:color w:val="000000"/>
        </w:rPr>
      </w:pPr>
      <w:r w:rsidDel="00000000" w:rsidR="00000000" w:rsidRPr="00000000">
        <w:rPr>
          <w:rFonts w:ascii="Roboto" w:cs="Roboto" w:eastAsia="Roboto" w:hAnsi="Roboto"/>
          <w:color w:val="000000"/>
          <w:rtl w:val="0"/>
        </w:rPr>
        <w:t xml:space="preserve">¾</w:t>
        <w:tab/>
        <w:t xml:space="preserve">mettre en demeure la société d’accomplir ses obligations légales en lui adressant une lettre recommandée de démission dans laquelle il précise que le maintien de son identité sur l’extrait K-bis ne correspond pas à la situation sociale actuelle et que l’inexécution des formalités lui créée un préjudice certain ; </w:t>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after="120" w:line="268" w:lineRule="auto"/>
        <w:ind w:left="358" w:hanging="357"/>
        <w:jc w:val="both"/>
        <w:rPr>
          <w:rFonts w:ascii="Roboto" w:cs="Roboto" w:eastAsia="Roboto" w:hAnsi="Roboto"/>
          <w:color w:val="000000"/>
        </w:rPr>
      </w:pPr>
      <w:r w:rsidDel="00000000" w:rsidR="00000000" w:rsidRPr="00000000">
        <w:rPr>
          <w:rFonts w:ascii="Roboto" w:cs="Roboto" w:eastAsia="Roboto" w:hAnsi="Roboto"/>
          <w:color w:val="000000"/>
          <w:rtl w:val="0"/>
        </w:rPr>
        <w:t xml:space="preserve">¾</w:t>
        <w:tab/>
        <w:t xml:space="preserve">insérer un avis intitulé « démission pour ordre » dans un journal d’annonces légales du département du siège social de la société. Cet avis doit indiquer : </w:t>
      </w:r>
    </w:p>
    <w:p w:rsidR="00000000" w:rsidDel="00000000" w:rsidP="00000000" w:rsidRDefault="00000000" w:rsidRPr="00000000" w14:paraId="0000001C">
      <w:pPr>
        <w:widowControl w:val="0"/>
        <w:numPr>
          <w:ilvl w:val="0"/>
          <w:numId w:val="1"/>
        </w:numPr>
        <w:pBdr>
          <w:top w:space="0" w:sz="0" w:val="nil"/>
          <w:left w:space="0" w:sz="0" w:val="nil"/>
          <w:bottom w:space="0" w:sz="0" w:val="nil"/>
          <w:right w:space="0" w:sz="0" w:val="nil"/>
          <w:between w:space="0" w:sz="0" w:val="nil"/>
        </w:pBdr>
        <w:ind w:left="0" w:firstLine="0"/>
        <w:rPr>
          <w:rFonts w:ascii="Roboto" w:cs="Roboto" w:eastAsia="Roboto" w:hAnsi="Roboto"/>
        </w:rPr>
      </w:pPr>
      <w:r w:rsidDel="00000000" w:rsidR="00000000" w:rsidRPr="00000000">
        <w:rPr>
          <w:rFonts w:ascii="Roboto" w:cs="Roboto" w:eastAsia="Roboto" w:hAnsi="Roboto"/>
          <w:color w:val="000000"/>
          <w:rtl w:val="0"/>
        </w:rPr>
        <w:t xml:space="preserve">- la raison sociale ou la dénomination sociale suivie, le cas échéant, de son sigle ; </w:t>
      </w:r>
      <w:r w:rsidDel="00000000" w:rsidR="00000000" w:rsidRPr="00000000">
        <w:rPr>
          <w:rtl w:val="0"/>
        </w:rPr>
      </w:r>
    </w:p>
    <w:p w:rsidR="00000000" w:rsidDel="00000000" w:rsidP="00000000" w:rsidRDefault="00000000" w:rsidRPr="00000000" w14:paraId="0000001D">
      <w:pPr>
        <w:widowControl w:val="0"/>
        <w:numPr>
          <w:ilvl w:val="0"/>
          <w:numId w:val="1"/>
        </w:numPr>
        <w:pBdr>
          <w:top w:space="0" w:sz="0" w:val="nil"/>
          <w:left w:space="0" w:sz="0" w:val="nil"/>
          <w:bottom w:space="0" w:sz="0" w:val="nil"/>
          <w:right w:space="0" w:sz="0" w:val="nil"/>
          <w:between w:space="0" w:sz="0" w:val="nil"/>
        </w:pBdr>
        <w:ind w:left="0" w:firstLine="0"/>
        <w:rPr>
          <w:rFonts w:ascii="Roboto" w:cs="Roboto" w:eastAsia="Roboto" w:hAnsi="Roboto"/>
        </w:rPr>
      </w:pPr>
      <w:r w:rsidDel="00000000" w:rsidR="00000000" w:rsidRPr="00000000">
        <w:rPr>
          <w:rFonts w:ascii="Roboto" w:cs="Roboto" w:eastAsia="Roboto" w:hAnsi="Roboto"/>
          <w:color w:val="000000"/>
          <w:rtl w:val="0"/>
        </w:rPr>
        <w:t xml:space="preserve">- la forme de la société le montant du capital social ; </w:t>
      </w:r>
      <w:r w:rsidDel="00000000" w:rsidR="00000000" w:rsidRPr="00000000">
        <w:rPr>
          <w:rtl w:val="0"/>
        </w:rPr>
      </w:r>
    </w:p>
    <w:p w:rsidR="00000000" w:rsidDel="00000000" w:rsidP="00000000" w:rsidRDefault="00000000" w:rsidRPr="00000000" w14:paraId="0000001E">
      <w:pPr>
        <w:widowControl w:val="0"/>
        <w:numPr>
          <w:ilvl w:val="0"/>
          <w:numId w:val="1"/>
        </w:numPr>
        <w:pBdr>
          <w:top w:space="0" w:sz="0" w:val="nil"/>
          <w:left w:space="0" w:sz="0" w:val="nil"/>
          <w:bottom w:space="0" w:sz="0" w:val="nil"/>
          <w:right w:space="0" w:sz="0" w:val="nil"/>
          <w:between w:space="0" w:sz="0" w:val="nil"/>
        </w:pBdr>
        <w:ind w:left="0" w:firstLine="0"/>
        <w:rPr>
          <w:rFonts w:ascii="Roboto" w:cs="Roboto" w:eastAsia="Roboto" w:hAnsi="Roboto"/>
        </w:rPr>
      </w:pPr>
      <w:r w:rsidDel="00000000" w:rsidR="00000000" w:rsidRPr="00000000">
        <w:rPr>
          <w:rFonts w:ascii="Roboto" w:cs="Roboto" w:eastAsia="Roboto" w:hAnsi="Roboto"/>
          <w:color w:val="000000"/>
          <w:rtl w:val="0"/>
        </w:rPr>
        <w:t xml:space="preserve">- l’adresse du siège social ; </w:t>
      </w:r>
      <w:r w:rsidDel="00000000" w:rsidR="00000000" w:rsidRPr="00000000">
        <w:rPr>
          <w:rtl w:val="0"/>
        </w:rPr>
      </w:r>
    </w:p>
    <w:p w:rsidR="00000000" w:rsidDel="00000000" w:rsidP="00000000" w:rsidRDefault="00000000" w:rsidRPr="00000000" w14:paraId="0000001F">
      <w:pPr>
        <w:widowControl w:val="0"/>
        <w:numPr>
          <w:ilvl w:val="0"/>
          <w:numId w:val="1"/>
        </w:numPr>
        <w:pBdr>
          <w:top w:space="0" w:sz="0" w:val="nil"/>
          <w:left w:space="0" w:sz="0" w:val="nil"/>
          <w:bottom w:space="0" w:sz="0" w:val="nil"/>
          <w:right w:space="0" w:sz="0" w:val="nil"/>
          <w:between w:space="0" w:sz="0" w:val="nil"/>
        </w:pBdr>
        <w:ind w:left="0" w:firstLine="0"/>
        <w:rPr>
          <w:rFonts w:ascii="Roboto" w:cs="Roboto" w:eastAsia="Roboto" w:hAnsi="Roboto"/>
        </w:rPr>
      </w:pPr>
      <w:r w:rsidDel="00000000" w:rsidR="00000000" w:rsidRPr="00000000">
        <w:rPr>
          <w:rFonts w:ascii="Roboto" w:cs="Roboto" w:eastAsia="Roboto" w:hAnsi="Roboto"/>
          <w:color w:val="000000"/>
          <w:rtl w:val="0"/>
        </w:rPr>
        <w:t xml:space="preserve">- le numéro d’immatriculation de la société au registre du commerce et des sociétés ; </w:t>
      </w:r>
      <w:r w:rsidDel="00000000" w:rsidR="00000000" w:rsidRPr="00000000">
        <w:rPr>
          <w:rtl w:val="0"/>
        </w:rPr>
      </w:r>
    </w:p>
    <w:p w:rsidR="00000000" w:rsidDel="00000000" w:rsidP="00000000" w:rsidRDefault="00000000" w:rsidRPr="00000000" w14:paraId="00000020">
      <w:pPr>
        <w:widowControl w:val="0"/>
        <w:numPr>
          <w:ilvl w:val="0"/>
          <w:numId w:val="1"/>
        </w:numPr>
        <w:pBdr>
          <w:top w:space="0" w:sz="0" w:val="nil"/>
          <w:left w:space="0" w:sz="0" w:val="nil"/>
          <w:bottom w:space="0" w:sz="0" w:val="nil"/>
          <w:right w:space="0" w:sz="0" w:val="nil"/>
          <w:between w:space="0" w:sz="0" w:val="nil"/>
        </w:pBdr>
        <w:ind w:left="0" w:firstLine="0"/>
        <w:rPr>
          <w:rFonts w:ascii="Roboto" w:cs="Roboto" w:eastAsia="Roboto" w:hAnsi="Roboto"/>
        </w:rPr>
      </w:pPr>
      <w:r w:rsidDel="00000000" w:rsidR="00000000" w:rsidRPr="00000000">
        <w:rPr>
          <w:rFonts w:ascii="Roboto" w:cs="Roboto" w:eastAsia="Roboto" w:hAnsi="Roboto"/>
          <w:color w:val="000000"/>
          <w:rtl w:val="0"/>
        </w:rPr>
        <w:t xml:space="preserve">- la date à laquelle la démission a pris effet ; </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Roboto" w:cs="Roboto" w:eastAsia="Roboto" w:hAnsi="Roboto"/>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20" w:line="268" w:lineRule="auto"/>
        <w:ind w:left="358" w:hanging="357"/>
        <w:jc w:val="both"/>
        <w:rPr>
          <w:rFonts w:ascii="Roboto" w:cs="Roboto" w:eastAsia="Roboto" w:hAnsi="Roboto"/>
          <w:color w:val="000000"/>
        </w:rPr>
      </w:pPr>
      <w:r w:rsidDel="00000000" w:rsidR="00000000" w:rsidRPr="00000000">
        <w:rPr>
          <w:rFonts w:ascii="Roboto" w:cs="Roboto" w:eastAsia="Roboto" w:hAnsi="Roboto"/>
          <w:color w:val="000000"/>
          <w:rtl w:val="0"/>
        </w:rPr>
        <w:t xml:space="preserve">¾</w:t>
        <w:tab/>
        <w:t xml:space="preserve">déposer au greffe du tribunal de commerce du lieu du siège social de la société :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20" w:line="268" w:lineRule="auto"/>
        <w:ind w:left="1593" w:hanging="175.99999999999994"/>
        <w:jc w:val="both"/>
        <w:rPr>
          <w:rFonts w:ascii="Roboto" w:cs="Roboto" w:eastAsia="Roboto" w:hAnsi="Roboto"/>
          <w:color w:val="000000"/>
        </w:rPr>
      </w:pPr>
      <w:r w:rsidDel="00000000" w:rsidR="00000000" w:rsidRPr="00000000">
        <w:rPr>
          <w:rFonts w:ascii="Roboto" w:cs="Roboto" w:eastAsia="Roboto" w:hAnsi="Roboto"/>
          <w:color w:val="000000"/>
          <w:rtl w:val="0"/>
        </w:rPr>
        <w:t xml:space="preserve">-deux exemplaires originaux de la lettre de démission qui a été adressée à la société ; </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240" w:line="268" w:lineRule="auto"/>
        <w:ind w:left="1593" w:hanging="175.99999999999994"/>
        <w:jc w:val="both"/>
        <w:rPr>
          <w:rFonts w:ascii="Roboto" w:cs="Roboto" w:eastAsia="Roboto" w:hAnsi="Roboto"/>
          <w:color w:val="000000"/>
        </w:rPr>
      </w:pPr>
      <w:r w:rsidDel="00000000" w:rsidR="00000000" w:rsidRPr="00000000">
        <w:rPr>
          <w:rFonts w:ascii="Roboto" w:cs="Roboto" w:eastAsia="Roboto" w:hAnsi="Roboto"/>
          <w:color w:val="000000"/>
          <w:rtl w:val="0"/>
        </w:rPr>
        <w:t xml:space="preserve">-une liasse M2 signée par le dirigeant démissionnaire en qualité de « personne justifiant d’y avoir intérêt ». </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240" w:line="268" w:lineRule="auto"/>
        <w:jc w:val="both"/>
        <w:rPr>
          <w:rFonts w:ascii="Roboto" w:cs="Roboto" w:eastAsia="Roboto" w:hAnsi="Roboto"/>
          <w:color w:val="000000"/>
        </w:rPr>
      </w:pPr>
      <w:r w:rsidDel="00000000" w:rsidR="00000000" w:rsidRPr="00000000">
        <w:rPr>
          <w:rFonts w:ascii="Roboto" w:cs="Roboto" w:eastAsia="Roboto" w:hAnsi="Roboto"/>
          <w:color w:val="000000"/>
          <w:rtl w:val="0"/>
        </w:rPr>
        <w:t xml:space="preserve">Le greffier est alors tenu d’indiquer cette démission pour ordre, en observation, sur l’extrait Kis.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after="8213" w:line="242" w:lineRule="auto"/>
        <w:ind w:right="980"/>
        <w:jc w:val="both"/>
        <w:rPr>
          <w:rFonts w:ascii="Roboto" w:cs="Roboto" w:eastAsia="Roboto" w:hAnsi="Roboto"/>
          <w:color w:val="000000"/>
        </w:rPr>
      </w:pPr>
      <w:bookmarkStart w:colFirst="0" w:colLast="0" w:name="_heading=h.gjdgxs" w:id="0"/>
      <w:bookmarkEnd w:id="0"/>
      <w:r w:rsidDel="00000000" w:rsidR="00000000" w:rsidRPr="00000000">
        <w:rPr>
          <w:rFonts w:ascii="Roboto" w:cs="Roboto" w:eastAsia="Roboto" w:hAnsi="Roboto"/>
          <w:color w:val="000000"/>
          <w:rtl w:val="0"/>
        </w:rPr>
        <w:t xml:space="preserve">En cas de refus, l’ancien dirigeant peut adresser une requête auprès du juge commis à la surveillance du registre du commerce et des sociétés (article L. 123-3 alinéa 2 du Code de commerce) ou demander au président du tribunal de commerce de désigner un mandataire chargé d’accomplir les formalités (article 20 du décret n° 78-704 du 3 juillet 1978).</w:t>
      </w:r>
    </w:p>
    <w:sectPr>
      <w:pgSz w:h="15840" w:w="12240"/>
      <w:pgMar w:bottom="1417"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pacing w:after="60" w:before="240" w:lineRule="auto"/>
    </w:pPr>
    <w:rPr>
      <w:rFonts w:ascii="Arial" w:cs="Arial" w:eastAsia="Arial" w:hAnsi="Arial"/>
      <w:b w:val="1"/>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pacing w:after="60" w:before="240" w:lineRule="auto"/>
    </w:pPr>
    <w:rPr>
      <w:b w:val="1"/>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pacing w:after="60" w:before="240" w:lineRule="auto"/>
    </w:pPr>
    <w:rPr>
      <w:b w:val="1"/>
      <w:i w:val="1"/>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pacing w:after="60" w:before="240" w:lineRule="auto"/>
    </w:pPr>
    <w:rPr>
      <w:b w:val="1"/>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pacing w:after="60" w:before="240" w:lineRule="auto"/>
      <w:jc w:val="center"/>
    </w:pPr>
    <w:rPr>
      <w:rFonts w:ascii="Arial" w:cs="Arial" w:eastAsia="Arial" w:hAnsi="Arial"/>
      <w:b w:val="1"/>
      <w:sz w:val="32"/>
      <w:szCs w:val="32"/>
    </w:rPr>
  </w:style>
  <w:style w:type="paragraph" w:styleId="Normal" w:default="1">
    <w:name w:val="Normal"/>
    <w:qFormat w:val="1"/>
  </w:style>
  <w:style w:type="paragraph" w:styleId="Titre1">
    <w:name w:val="heading 1"/>
    <w:basedOn w:val="Normal"/>
    <w:next w:val="Normal"/>
    <w:uiPriority w:val="9"/>
    <w:qFormat w:val="1"/>
    <w:pPr>
      <w:keepNext w:val="1"/>
      <w:pBdr>
        <w:top w:space="0" w:sz="0" w:val="nil"/>
        <w:left w:space="0" w:sz="0" w:val="nil"/>
        <w:bottom w:space="0" w:sz="0" w:val="nil"/>
        <w:right w:space="0" w:sz="0" w:val="nil"/>
        <w:between w:space="0" w:sz="0" w:val="nil"/>
      </w:pBdr>
      <w:spacing w:after="60" w:before="240"/>
      <w:outlineLvl w:val="0"/>
    </w:pPr>
    <w:rPr>
      <w:rFonts w:ascii="Arial" w:cs="Arial" w:eastAsia="Arial" w:hAnsi="Arial"/>
      <w:b w:val="1"/>
      <w:sz w:val="32"/>
      <w:szCs w:val="32"/>
    </w:rPr>
  </w:style>
  <w:style w:type="paragraph" w:styleId="Titre2">
    <w:name w:val="heading 2"/>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1"/>
    </w:pPr>
    <w:rPr>
      <w:rFonts w:ascii="Arial" w:cs="Arial" w:eastAsia="Arial" w:hAnsi="Arial"/>
      <w:b w:val="1"/>
      <w:i w:val="1"/>
      <w:sz w:val="28"/>
      <w:szCs w:val="28"/>
    </w:rPr>
  </w:style>
  <w:style w:type="paragraph" w:styleId="Titre3">
    <w:name w:val="heading 3"/>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2"/>
    </w:pPr>
    <w:rPr>
      <w:rFonts w:ascii="Arial" w:cs="Arial" w:eastAsia="Arial" w:hAnsi="Arial"/>
      <w:b w:val="1"/>
      <w:sz w:val="26"/>
      <w:szCs w:val="26"/>
    </w:rPr>
  </w:style>
  <w:style w:type="paragraph" w:styleId="Titre4">
    <w:name w:val="heading 4"/>
    <w:basedOn w:val="Normal"/>
    <w:next w:val="Normal"/>
    <w:uiPriority w:val="9"/>
    <w:semiHidden w:val="1"/>
    <w:unhideWhenUsed w:val="1"/>
    <w:qFormat w:val="1"/>
    <w:pPr>
      <w:keepNext w:val="1"/>
      <w:pBdr>
        <w:top w:space="0" w:sz="0" w:val="nil"/>
        <w:left w:space="0" w:sz="0" w:val="nil"/>
        <w:bottom w:space="0" w:sz="0" w:val="nil"/>
        <w:right w:space="0" w:sz="0" w:val="nil"/>
        <w:between w:space="0" w:sz="0" w:val="nil"/>
      </w:pBdr>
      <w:spacing w:after="60" w:before="240"/>
      <w:outlineLvl w:val="3"/>
    </w:pPr>
    <w:rPr>
      <w:b w:val="1"/>
      <w:sz w:val="28"/>
      <w:szCs w:val="28"/>
    </w:rPr>
  </w:style>
  <w:style w:type="paragraph" w:styleId="Titre5">
    <w:name w:val="heading 5"/>
    <w:basedOn w:val="Normal"/>
    <w:next w:val="Normal"/>
    <w:uiPriority w:val="9"/>
    <w:semiHidden w:val="1"/>
    <w:unhideWhenUsed w:val="1"/>
    <w:qFormat w:val="1"/>
    <w:pPr>
      <w:pBdr>
        <w:top w:space="0" w:sz="0" w:val="nil"/>
        <w:left w:space="0" w:sz="0" w:val="nil"/>
        <w:bottom w:space="0" w:sz="0" w:val="nil"/>
        <w:right w:space="0" w:sz="0" w:val="nil"/>
        <w:between w:space="0" w:sz="0" w:val="nil"/>
      </w:pBdr>
      <w:spacing w:after="60" w:before="240"/>
      <w:outlineLvl w:val="4"/>
    </w:pPr>
    <w:rPr>
      <w:b w:val="1"/>
      <w:i w:val="1"/>
      <w:sz w:val="26"/>
      <w:szCs w:val="26"/>
    </w:rPr>
  </w:style>
  <w:style w:type="paragraph" w:styleId="Titre6">
    <w:name w:val="heading 6"/>
    <w:basedOn w:val="Normal"/>
    <w:next w:val="Normal"/>
    <w:uiPriority w:val="9"/>
    <w:semiHidden w:val="1"/>
    <w:unhideWhenUsed w:val="1"/>
    <w:qFormat w:val="1"/>
    <w:pPr>
      <w:pBdr>
        <w:top w:space="0" w:sz="0" w:val="nil"/>
        <w:left w:space="0" w:sz="0" w:val="nil"/>
        <w:bottom w:space="0" w:sz="0" w:val="nil"/>
        <w:right w:space="0" w:sz="0" w:val="nil"/>
        <w:between w:space="0" w:sz="0" w:val="nil"/>
      </w:pBdr>
      <w:spacing w:after="60" w:before="240"/>
      <w:outlineLvl w:val="5"/>
    </w:pPr>
    <w:rPr>
      <w:b w:val="1"/>
      <w:sz w:val="22"/>
      <w:szCs w:val="22"/>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pBdr>
        <w:top w:space="0" w:sz="0" w:val="nil"/>
        <w:left w:space="0" w:sz="0" w:val="nil"/>
        <w:bottom w:space="0" w:sz="0" w:val="nil"/>
        <w:right w:space="0" w:sz="0" w:val="nil"/>
        <w:between w:space="0" w:sz="0" w:val="nil"/>
      </w:pBdr>
      <w:spacing w:after="60" w:before="240"/>
      <w:jc w:val="center"/>
    </w:pPr>
    <w:rPr>
      <w:rFonts w:ascii="Arial" w:cs="Arial" w:eastAsia="Arial" w:hAnsi="Arial"/>
      <w:b w:val="1"/>
      <w:sz w:val="32"/>
      <w:szCs w:val="32"/>
    </w:rPr>
  </w:style>
  <w:style w:type="paragraph" w:styleId="Sous-titre">
    <w:name w:val="Subtitle"/>
    <w:basedOn w:val="Normal"/>
    <w:next w:val="Normal"/>
    <w:uiPriority w:val="11"/>
    <w:qFormat w:val="1"/>
    <w:pPr>
      <w:pBdr>
        <w:top w:space="0" w:sz="0" w:val="nil"/>
        <w:left w:space="0" w:sz="0" w:val="nil"/>
        <w:bottom w:space="0" w:sz="0" w:val="nil"/>
        <w:right w:space="0" w:sz="0" w:val="nil"/>
        <w:between w:space="0" w:sz="0" w:val="nil"/>
      </w:pBdr>
      <w:spacing w:after="60"/>
      <w:jc w:val="center"/>
    </w:pPr>
    <w:rPr>
      <w:rFonts w:ascii="Arial" w:cs="Arial" w:eastAsia="Arial" w:hAnsi="Arial"/>
    </w:rPr>
  </w:style>
  <w:style w:type="paragraph" w:styleId="paragraph" w:customStyle="1">
    <w:name w:val="paragraph"/>
    <w:basedOn w:val="Normal"/>
    <w:rsid w:val="00FB411F"/>
    <w:pPr>
      <w:spacing w:after="100" w:afterAutospacing="1" w:before="100" w:beforeAutospacing="1"/>
    </w:pPr>
  </w:style>
  <w:style w:type="character" w:styleId="scxw137346434" w:customStyle="1">
    <w:name w:val="scxw137346434"/>
    <w:basedOn w:val="Policepardfaut"/>
    <w:rsid w:val="00FB411F"/>
  </w:style>
  <w:style w:type="character" w:styleId="eop" w:customStyle="1">
    <w:name w:val="eop"/>
    <w:basedOn w:val="Policepardfaut"/>
    <w:rsid w:val="00FB411F"/>
  </w:style>
  <w:style w:type="character" w:styleId="normaltextrun" w:customStyle="1">
    <w:name w:val="normaltextrun"/>
    <w:basedOn w:val="Policepardfaut"/>
    <w:rsid w:val="00FB411F"/>
  </w:style>
  <w:style w:type="paragraph" w:styleId="Subtitle">
    <w:name w:val="Subtitle"/>
    <w:basedOn w:val="Normal"/>
    <w:next w:val="Normal"/>
    <w:pPr>
      <w:pBdr>
        <w:top w:space="0" w:sz="0" w:val="nil"/>
        <w:left w:space="0" w:sz="0" w:val="nil"/>
        <w:bottom w:space="0" w:sz="0" w:val="nil"/>
        <w:right w:space="0" w:sz="0" w:val="nil"/>
        <w:between w:space="0" w:sz="0" w:val="nil"/>
      </w:pBdr>
      <w:spacing w:after="60" w:lineRule="auto"/>
      <w:jc w:val="center"/>
    </w:pPr>
    <w:rPr>
      <w:rFonts w:ascii="Arial" w:cs="Arial" w:eastAsia="Arial" w:hAnsi="Arial"/>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HyPkgs29Le0tQKgPVuMA00eJ6A==">AMUW2mVnDsrz/vYHjMGW4oPs22WTmuzMpQwnmw6z5+cGo0ymLp33A8sMmU7xozkHMhUamk69zpnojdnCFvrvbrEbFSTbcV9QlLkJlbR4zoLSNayro86pYsvDAc0wEoub7YwL9jQYJjYr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2019-07-24T11:48:00Z</dcterms:created>
</cp:coreProperties>
</file>