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24"/>
          <w:szCs w:val="24"/>
        </w:rPr>
      </w:pPr>
      <w:r w:rsidDel="00000000" w:rsidR="00000000" w:rsidRPr="00000000">
        <w:rPr>
          <w:rFonts w:ascii="Roboto" w:cs="Roboto" w:eastAsia="Roboto" w:hAnsi="Roboto"/>
          <w:sz w:val="18"/>
          <w:szCs w:val="18"/>
        </w:rPr>
        <w:drawing>
          <wp:inline distB="114300" distT="114300" distL="114300" distR="114300">
            <wp:extent cx="5280660" cy="1498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80660" cy="1498600"/>
                    </a:xfrm>
                    <a:prstGeom prst="rect"/>
                    <a:ln/>
                  </pic:spPr>
                </pic:pic>
              </a:graphicData>
            </a:graphic>
          </wp:inline>
        </w:drawing>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0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keepNext w:val="1"/>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center"/>
        <w:rPr>
          <w:rFonts w:ascii="Roboto" w:cs="Roboto" w:eastAsia="Roboto" w:hAnsi="Roboto"/>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center"/>
        <w:rPr>
          <w:rFonts w:ascii="Roboto" w:cs="Roboto" w:eastAsia="Roboto" w:hAnsi="Roboto"/>
          <w:b w:val="1"/>
          <w:i w:val="0"/>
          <w:smallCaps w:val="1"/>
          <w:strike w:val="0"/>
          <w:color w:val="000000"/>
          <w:sz w:val="22"/>
          <w:szCs w:val="22"/>
          <w:u w:val="none"/>
          <w:shd w:fill="auto" w:val="clear"/>
          <w:vertAlign w:val="baseline"/>
        </w:rPr>
      </w:pPr>
      <w:r w:rsidDel="00000000" w:rsidR="00000000" w:rsidRPr="00000000">
        <w:rPr>
          <w:rFonts w:ascii="Roboto" w:cs="Roboto" w:eastAsia="Roboto" w:hAnsi="Roboto"/>
          <w:b w:val="1"/>
          <w:i w:val="0"/>
          <w:smallCaps w:val="1"/>
          <w:strike w:val="0"/>
          <w:color w:val="000000"/>
          <w:sz w:val="22"/>
          <w:szCs w:val="22"/>
          <w:u w:val="none"/>
          <w:shd w:fill="auto" w:val="clear"/>
          <w:vertAlign w:val="baseline"/>
          <w:rtl w:val="0"/>
        </w:rPr>
        <w:t xml:space="preserve">CONTRAT DE CESSION D’ACTIONS</w:t>
      </w:r>
    </w:p>
    <w:p w:rsidR="00000000" w:rsidDel="00000000" w:rsidP="00000000" w:rsidRDefault="00000000" w:rsidRPr="00000000" w14:paraId="0000002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ENTRE LES SOUSSIGNES :</w:t>
      </w:r>
    </w:p>
    <w:p w:rsidR="00000000" w:rsidDel="00000000" w:rsidP="00000000" w:rsidRDefault="00000000" w:rsidRPr="00000000" w14:paraId="0000002C">
      <w:pPr>
        <w:spacing w:line="276" w:lineRule="auto"/>
        <w:rPr>
          <w:rFonts w:ascii="Roboto" w:cs="Roboto" w:eastAsia="Roboto" w:hAnsi="Roboto"/>
          <w:color w:val="000000"/>
          <w:sz w:val="24"/>
          <w:szCs w:val="24"/>
          <w:highlight w:val="yellow"/>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né le </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demeurant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spacing w:after="240"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after="240"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le « </w:t>
      </w:r>
      <w:r w:rsidDel="00000000" w:rsidR="00000000" w:rsidRPr="00000000">
        <w:rPr>
          <w:rFonts w:ascii="Roboto" w:cs="Roboto" w:eastAsia="Roboto" w:hAnsi="Roboto"/>
          <w:b w:val="1"/>
          <w:sz w:val="24"/>
          <w:szCs w:val="24"/>
          <w:rtl w:val="0"/>
        </w:rPr>
        <w:t xml:space="preserve">Cédant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after="240" w:line="276" w:lineRule="auto"/>
        <w:jc w:val="both"/>
        <w:rPr>
          <w:rFonts w:ascii="Roboto" w:cs="Roboto" w:eastAsia="Roboto" w:hAnsi="Roboto"/>
          <w:b w:val="1"/>
          <w:sz w:val="24"/>
          <w:szCs w:val="24"/>
        </w:rPr>
      </w:pP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né le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demeurant </w:t>
      </w:r>
      <w:r w:rsidDel="00000000" w:rsidR="00000000" w:rsidRPr="00000000">
        <w:rPr>
          <w:rFonts w:ascii="Roboto" w:cs="Roboto" w:eastAsia="Roboto" w:hAnsi="Roboto"/>
          <w:i w:val="1"/>
          <w:color w:val="7f7f7f"/>
          <w:sz w:val="24"/>
          <w:szCs w:val="24"/>
          <w:rtl w:val="0"/>
        </w:rPr>
        <w:t xml:space="preserve">(…)</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2"/>
        </w:tabs>
        <w:spacing w:after="0" w:before="142" w:line="276"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(ci-après l’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Cessionnaire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tabs>
          <w:tab w:val="left" w:pos="1701"/>
        </w:tabs>
        <w:spacing w:after="100" w:before="100" w:line="276" w:lineRule="auto"/>
        <w:jc w:val="both"/>
        <w:rPr>
          <w:rFonts w:ascii="Roboto" w:cs="Roboto" w:eastAsia="Roboto" w:hAnsi="Roboto"/>
          <w:sz w:val="24"/>
          <w:szCs w:val="24"/>
          <w:highlight w:val="yellow"/>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Cédant et le Cessionnaire étant ci-après désignés individuellement une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Partie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et ensemble les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Parties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1"/>
        <w:spacing w:after="200" w:line="276" w:lineRule="auto"/>
        <w:jc w:val="both"/>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IL EST PRÉALABLEMENT RAPPELÉ CE QUI SUIT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Cessionnaire souhaite participer à l’acquisition du groupe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(dont la Société est une société holding regroupant certains managers dudit groupe) aux côtés de fonds gérés par la société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société en commandite par actions au capital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ayant son siège social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immatriculée au Registre du commerce et des sociétés 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RCS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Opération d’Acquisition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Il est prévu que la réalisation définitive de l’Opération d’Acquisition intervienne 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dans les termes du contrat de cession des valeurs mobilières relatif à l’acquisition de valeurs mobilières émises par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conclu en date du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Contrat de Cession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Cédant détient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actions ordinaires dans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société par actions simplifiée, dont le siège social est situé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immatriculée au Registre du Commerce et des Sociétés de Paris 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R.C.S. Paris (la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Cessionnaire souhaite, dans le cadre de sa participation à l’Opération d’Acquisition, acquérir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actions détenues par le Cédant et le Cédant accepte de les lui céder conformément aux termes et conditions du présent contrat de cession d’actions (le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Contrat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rPr>
          <w:rFonts w:ascii="Roboto" w:cs="Roboto" w:eastAsia="Roboto" w:hAnsi="Roboto"/>
          <w:b w:val="1"/>
          <w:smallCaps w:val="1"/>
          <w:sz w:val="24"/>
          <w:szCs w:val="24"/>
        </w:rPr>
      </w:pPr>
      <w:r w:rsidDel="00000000" w:rsidR="00000000" w:rsidRPr="00000000">
        <w:rPr>
          <w:rFonts w:ascii="Roboto" w:cs="Roboto" w:eastAsia="Roboto" w:hAnsi="Roboto"/>
          <w:b w:val="1"/>
          <w:smallCaps w:val="1"/>
          <w:sz w:val="24"/>
          <w:szCs w:val="24"/>
          <w:rtl w:val="0"/>
        </w:rPr>
        <w:t xml:space="preserve">CECI EXPOSÉ, IL A ÉTÉ CONVENU ET ARRÊTÉ CE QUI SUIT :</w:t>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Cession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Conformément aux termes et conditions du présent Contrat, le Cédant cède et transfère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actions de la Société (les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Actions Cédées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en pleine propriété et libres de toutes charges au Cessionnaire et le Cessionnaire acquiert les Actions Cédées avec tous les droits et obligations y attachés (ci-après, le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Transfert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à la Date de Réalisation (tel que ce terme est défini ci-après).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Transfert prendra effet à l’égard des tiers et des Parties à compter de l’inscription par la Société du Transfert dans les comptes d’actionnaires concernés et le registre des mouvements de titres de la Société, soit au plus tard le (la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Date de Réalisation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Cessionnaire aura droit à tout dividende mis en paiement par la Société à compter de la Date de Transfert.</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Prix</w:t>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Cédant et le Cessionnaire conviennent que la Cession sera réalisée à la date des présentes moyennant un prix total pour les Actions Cédées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(le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Prix de Cession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Roboto" w:cs="Roboto" w:eastAsia="Roboto" w:hAnsi="Roboto"/>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4C">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shd w:fill="auto" w:val="clear"/>
          <w:vertAlign w:val="baseline"/>
        </w:rPr>
      </w:pPr>
      <w:bookmarkStart w:colFirst="0" w:colLast="0" w:name="_heading=h.3znysh7" w:id="3"/>
      <w:bookmarkEnd w:id="3"/>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versement du Prix de Cession sera effectué par le Cessionnaire à la date des présentes par virement bancaire sur le compte bancaire du Cédant dont les coordonnées sont les suivantes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Résolution de la cession des Actions Cédées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shd w:fill="auto" w:val="clear"/>
          <w:vertAlign w:val="baseline"/>
        </w:rPr>
      </w:pPr>
      <w:bookmarkStart w:colFirst="0" w:colLast="0" w:name="_heading=h.2et92p0" w:id="4"/>
      <w:bookmarkEnd w:id="4"/>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prennent acte que le présent Contrat est indivisible de l’intégralité des opérations devant intervenir dans le cadre de Opération d’Acquisition et que les Parties n’auraient pas conclu le présent Contrat en dehors de l’Opération d’Acquisition.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conviennent que le présent Contrat sera résolu de plein droit de manière rétroactive, sans mise en demeure préalable, dans le cas où le Transfert (au sens donné à ce terme dans le Contrat) ne serait pas définitivement réalisé le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(la « Date de Réalisation »)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ou à la Nouvelle Date de Transfert (au sens donné à ce terme dans le Contrat) (la «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Condition Résolutoire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shd w:fill="auto" w:val="clear"/>
          <w:vertAlign w:val="baseline"/>
        </w:rPr>
      </w:pPr>
      <w:bookmarkStart w:colFirst="0" w:colLast="0" w:name="_heading=h.tyjcwt" w:id="5"/>
      <w:bookmarkEnd w:id="5"/>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cas de survenance de la Condition Résolutoire, le Cessionnaire devra immédiatement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tab/>
        <w:t xml:space="preserve">restituer au Cédant les Actions Cédées acquises auprès de lui dans le cadre du présent Contrat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tab/>
        <w:t xml:space="preserve">restituer au Cédant tous dividendes, acomptes sur dividendes et autres distributions se rapportant aux Actions acquises auprès dudit Cédant et perçus par le Cessionnaire entre la Date de Réalisation et la date de réalisation de la Condition Résolutoire ; et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76"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tab/>
        <w:t xml:space="preserve">plus généralement, faire le nécessaire, et notamment toutes les formalités, enregistrement et autres, pour remettre les choses au même état que si les obligations prévues par le présent Contrat n’avaient jamais existé, conformément aux articles 1304 et 1304-7 du Code civil.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mise en œuvre de la Condition Résolutoire n'entraînera pas de droit à indemnité ou à dommages et intérêts pour l'une quelconque des Parties.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Divers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Cédant remettra à le Cessionnaire à la Date de réalisation les ordres de mouvement et formulaires Cerfa afférents dûment renseignés et signés et relatifs à la cession de la totalité des Actions Concernées.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conviennent de tenir confidentielles le Contrat et de ne pas en communiquer le texte à quiconque (sauf accord préalable écrit de le Cessionnaire) si ce n'est à leurs conseils, commissaires aux comptes, banquiers, et autres personnes de même nature soumises au secret professionnel, ainsi qu'à raison d'une obligation légale ou d'une décision de justice.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présent Contrat sera régi et interprété conformément au droit français en vigueur.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Tout différend relatif au présent Contrat, y compris à sa validité, son interprétation ou son exécution, relève de la compétence exclusive du Tribunal de Commerce de Paris.</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Fait 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deux (2) exemplaires originaux,</w:t>
        <w:br w:type="textWrapping"/>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1"/>
          <w:smallCaps w:val="0"/>
          <w:strike w:val="0"/>
          <w:color w:val="7f7f7f"/>
          <w:sz w:val="24"/>
          <w:szCs w:val="24"/>
          <w:u w:val="none"/>
          <w:shd w:fill="auto" w:val="clear"/>
          <w:vertAlign w:val="baseline"/>
        </w:rPr>
      </w:pPr>
      <w:bookmarkStart w:colFirst="0" w:colLast="0" w:name="_heading=h.3dy6vkm" w:id="6"/>
      <w:bookmarkEnd w:id="6"/>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8452.0" w:type="dxa"/>
        <w:jc w:val="left"/>
        <w:tblInd w:w="0.0" w:type="dxa"/>
        <w:tblLayout w:type="fixed"/>
        <w:tblLook w:val="0000"/>
      </w:tblPr>
      <w:tblGrid>
        <w:gridCol w:w="4226"/>
        <w:gridCol w:w="4226"/>
        <w:tblGridChange w:id="0">
          <w:tblGrid>
            <w:gridCol w:w="4226"/>
            <w:gridCol w:w="4226"/>
          </w:tblGrid>
        </w:tblGridChange>
      </w:tblGrid>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Le Cédant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1"/>
                <w:smallCaps w:val="0"/>
                <w:strike w:val="0"/>
                <w:color w:val="808080"/>
                <w:sz w:val="24"/>
                <w:szCs w:val="24"/>
                <w:u w:val="none"/>
                <w:shd w:fill="auto" w:val="clear"/>
                <w:vertAlign w:val="baseline"/>
              </w:rPr>
            </w:pP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Représenté par Monsieur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Le Cessionnaire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[Représenté par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à confirmer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pgMar w:bottom="284" w:top="1440" w:left="1797" w:right="1797" w:header="709" w:footer="4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EMECURRENT 939270712.1 11-mai-17 14:50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EMECURRENT 939270712.1 11-mai-17 14:50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140"/>
        <w:tab w:val="right" w:pos="8280"/>
      </w:tabs>
      <w:rPr>
        <w:sz w:val="16"/>
        <w:szCs w:val="16"/>
      </w:rPr>
    </w:pPr>
    <w:r w:rsidDel="00000000" w:rsidR="00000000" w:rsidRPr="00000000">
      <w:rPr>
        <w:sz w:val="16"/>
        <w:szCs w:val="16"/>
        <w:rtl w:val="0"/>
      </w:rPr>
      <w:tab/>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0" w:firstLine="0"/>
      </w:pPr>
      <w:rPr>
        <w:rFonts w:ascii="Times New Roman" w:cs="Times New Roman" w:eastAsia="Times New Roman" w:hAnsi="Times New Roman"/>
      </w:rPr>
    </w:lvl>
    <w:lvl w:ilvl="3">
      <w:start w:val="1"/>
      <w:numFmt w:val="lowerLetter"/>
      <w:lvlText w:val="(%4)"/>
      <w:lvlJc w:val="left"/>
      <w:pPr>
        <w:ind w:left="2160" w:hanging="720"/>
      </w:pPr>
      <w:rPr>
        <w:rFonts w:ascii="Book Antiqua" w:cs="Book Antiqua" w:eastAsia="Book Antiqua" w:hAnsi="Book Antiqua"/>
      </w:rPr>
    </w:lvl>
    <w:lvl w:ilvl="4">
      <w:start w:val="1"/>
      <w:numFmt w:val="lowerRoman"/>
      <w:lvlText w:val="(%5)"/>
      <w:lvlJc w:val="left"/>
      <w:pPr>
        <w:ind w:left="2880" w:hanging="720"/>
      </w:pPr>
      <w:rPr>
        <w:rFonts w:ascii="Calibri" w:cs="Calibri" w:eastAsia="Calibri" w:hAnsi="Calibri"/>
        <w:b w:val="0"/>
        <w:i w:val="0"/>
        <w:sz w:val="22"/>
        <w:szCs w:val="22"/>
      </w:rPr>
    </w:lvl>
    <w:lvl w:ilvl="5">
      <w:start w:val="1"/>
      <w:numFmt w:val="upperLetter"/>
      <w:lvlText w:val="(%6)"/>
      <w:lvlJc w:val="left"/>
      <w:pPr>
        <w:ind w:left="3600" w:hanging="720"/>
      </w:pPr>
      <w:rPr>
        <w:rFonts w:ascii="Book Antiqua" w:cs="Book Antiqua" w:eastAsia="Book Antiqua" w:hAnsi="Book Antiqua"/>
      </w:rPr>
    </w:lvl>
    <w:lvl w:ilvl="6">
      <w:start w:val="1"/>
      <w:numFmt w:val="decimal"/>
      <w:lvlText w:val=""/>
      <w:lvlJc w:val="left"/>
      <w:pPr>
        <w:ind w:left="3600" w:hanging="720"/>
      </w:pPr>
      <w:rPr>
        <w:rFonts w:ascii="Book Antiqua" w:cs="Book Antiqua" w:eastAsia="Book Antiqua" w:hAnsi="Book Antiqua"/>
      </w:rPr>
    </w:lvl>
    <w:lvl w:ilvl="7">
      <w:start w:val="1"/>
      <w:numFmt w:val="decimal"/>
      <w:lvlText w:val=""/>
      <w:lvlJc w:val="left"/>
      <w:pPr>
        <w:ind w:left="3600" w:hanging="720"/>
      </w:pPr>
      <w:rPr>
        <w:rFonts w:ascii="Book Antiqua" w:cs="Book Antiqua" w:eastAsia="Book Antiqua" w:hAnsi="Book Antiqua"/>
      </w:rPr>
    </w:lvl>
    <w:lvl w:ilvl="8">
      <w:start w:val="1"/>
      <w:numFmt w:val="decimal"/>
      <w:lvlText w:val=""/>
      <w:lvlJc w:val="left"/>
      <w:pPr>
        <w:ind w:left="3600" w:hanging="720"/>
      </w:pPr>
      <w:rPr>
        <w:rFonts w:ascii="Book Antiqua" w:cs="Book Antiqua" w:eastAsia="Book Antiqua" w:hAnsi="Book Antiqua"/>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240" w:lineRule="auto"/>
      <w:jc w:val="left"/>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Book Antiqua" w:hAnsi="Book Antiqua"/>
      <w:sz w:val="22"/>
      <w:szCs w:val="24"/>
      <w:lang w:eastAsia="en-US" w:val="en-GB"/>
    </w:rPr>
  </w:style>
  <w:style w:type="paragraph" w:styleId="Titre1">
    <w:name w:val="heading 1"/>
    <w:basedOn w:val="Normal"/>
    <w:next w:val="Normal"/>
    <w:link w:val="Titre1Car"/>
    <w:qFormat w:val="1"/>
    <w:locked w:val="1"/>
    <w:pPr>
      <w:keepNext w:val="1"/>
      <w:spacing w:after="60" w:before="240"/>
      <w:outlineLvl w:val="0"/>
    </w:pPr>
    <w:rPr>
      <w:rFonts w:ascii="Cambria" w:hAnsi="Cambria"/>
      <w:b w:val="1"/>
      <w:bCs w:val="1"/>
      <w:kern w:val="32"/>
      <w:sz w:val="32"/>
      <w:szCs w:val="32"/>
    </w:rPr>
  </w:style>
  <w:style w:type="paragraph" w:styleId="Titre3">
    <w:name w:val="heading 3"/>
    <w:aliases w:val="h3,Subparagraafkop,Lev 3,3,Niveau 1 1 1"/>
    <w:basedOn w:val="Corpsdetexte"/>
    <w:next w:val="Corpsdetexte"/>
    <w:qFormat w:val="1"/>
    <w:pPr>
      <w:keepNext w:val="1"/>
      <w:keepLines w:val="1"/>
      <w:jc w:val="left"/>
      <w:outlineLvl w:val="2"/>
    </w:pPr>
    <w:rPr>
      <w:rFonts w:ascii="Times New Roman" w:hAnsi="Times New Roman"/>
      <w:b w:val="1"/>
      <w:sz w:val="24"/>
    </w:rPr>
  </w:style>
  <w:style w:type="paragraph" w:styleId="Titre7">
    <w:name w:val="heading 7"/>
    <w:basedOn w:val="Normal"/>
    <w:next w:val="Normal"/>
    <w:link w:val="Titre7Car"/>
    <w:semiHidden w:val="1"/>
    <w:unhideWhenUsed w:val="1"/>
    <w:qFormat w:val="1"/>
    <w:locked w:val="1"/>
    <w:pPr>
      <w:spacing w:after="60" w:before="240"/>
      <w:outlineLvl w:val="6"/>
    </w:pPr>
    <w:rPr>
      <w:rFonts w:ascii="Calibri" w:hAnsi="Calibri"/>
      <w:sz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Corpsdetexte">
    <w:name w:val="Body Text"/>
    <w:aliases w:val="bt"/>
    <w:basedOn w:val="Normal"/>
    <w:link w:val="CorpsdetexteCar"/>
    <w:pPr>
      <w:spacing w:after="240"/>
      <w:jc w:val="both"/>
    </w:pPr>
  </w:style>
  <w:style w:type="paragraph" w:styleId="Retraitcorpsdetexte">
    <w:name w:val="Body Text Indent"/>
    <w:basedOn w:val="Normal"/>
    <w:pPr>
      <w:ind w:left="1440"/>
    </w:pPr>
  </w:style>
  <w:style w:type="paragraph" w:styleId="CHeading11ptKAP" w:customStyle="1">
    <w:name w:val="C Heading 11pt KAP"/>
    <w:basedOn w:val="Normal"/>
    <w:pPr>
      <w:keepNext w:val="1"/>
      <w:spacing w:after="240"/>
      <w:jc w:val="center"/>
    </w:pPr>
    <w:rPr>
      <w:b w:val="1"/>
      <w:smallCaps w:val="1"/>
    </w:rPr>
  </w:style>
  <w:style w:type="paragraph" w:styleId="Heading" w:customStyle="1">
    <w:name w:val="Heading"/>
    <w:basedOn w:val="Normal"/>
    <w:pPr>
      <w:keepNext w:val="1"/>
      <w:spacing w:after="240"/>
      <w:jc w:val="both"/>
    </w:pPr>
    <w:rPr>
      <w:b w:val="1"/>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istArabic1" w:customStyle="1">
    <w:name w:val="List Arabic 1"/>
    <w:basedOn w:val="Normal"/>
    <w:next w:val="Corpsdetexte"/>
    <w:pPr>
      <w:numPr>
        <w:numId w:val="12"/>
      </w:numPr>
      <w:tabs>
        <w:tab w:val="left" w:pos="22"/>
      </w:tabs>
      <w:autoSpaceDE w:val="0"/>
      <w:autoSpaceDN w:val="0"/>
      <w:adjustRightInd w:val="0"/>
      <w:spacing w:after="200" w:line="288" w:lineRule="auto"/>
      <w:jc w:val="both"/>
    </w:pPr>
    <w:rPr>
      <w:rFonts w:ascii="CG Times" w:hAnsi="CG Times"/>
      <w:szCs w:val="22"/>
      <w:lang w:eastAsia="en-GB"/>
    </w:rPr>
  </w:style>
  <w:style w:type="paragraph" w:styleId="Corpsdetexte2">
    <w:name w:val="Body Text 2"/>
    <w:basedOn w:val="Normal"/>
    <w:pPr>
      <w:spacing w:after="120" w:line="480" w:lineRule="auto"/>
    </w:pPr>
  </w:style>
  <w:style w:type="paragraph" w:styleId="Textedebulles">
    <w:name w:val="Balloon Text"/>
    <w:basedOn w:val="Normal"/>
    <w:semiHidden w:val="1"/>
    <w:rPr>
      <w:rFonts w:ascii="Tahoma" w:cs="Tahoma" w:hAnsi="Tahoma"/>
      <w:sz w:val="16"/>
      <w:szCs w:val="16"/>
    </w:rPr>
  </w:style>
  <w:style w:type="paragraph" w:styleId="Paragraphedeliste1" w:customStyle="1">
    <w:name w:val="Paragraphe de liste1"/>
    <w:basedOn w:val="Normal"/>
    <w:pPr>
      <w:ind w:left="708"/>
    </w:pPr>
  </w:style>
  <w:style w:type="table" w:styleId="Grilledutableau">
    <w:name w:val="Table Grid"/>
    <w:basedOn w:val="TableauNormal"/>
    <w:uiPriority w:val="59"/>
    <w:rPr>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rpsdetexteCar" w:customStyle="1">
    <w:name w:val="Corps de texte Car"/>
    <w:aliases w:val="bt Car"/>
    <w:basedOn w:val="Policepardfaut"/>
    <w:link w:val="Corpsdetexte"/>
    <w:locked w:val="1"/>
    <w:rPr>
      <w:rFonts w:ascii="Book Antiqua" w:hAnsi="Book Antiqua"/>
      <w:sz w:val="22"/>
      <w:szCs w:val="24"/>
      <w:lang w:bidi="ar-SA" w:eastAsia="en-US" w:val="en-GB"/>
    </w:rPr>
  </w:style>
  <w:style w:type="character" w:styleId="Titre1Car" w:customStyle="1">
    <w:name w:val="Titre 1 Car"/>
    <w:basedOn w:val="Policepardfaut"/>
    <w:link w:val="Titre1"/>
    <w:rPr>
      <w:rFonts w:ascii="Cambria" w:cs="Times New Roman" w:eastAsia="Times New Roman" w:hAnsi="Cambria"/>
      <w:b w:val="1"/>
      <w:bCs w:val="1"/>
      <w:kern w:val="32"/>
      <w:sz w:val="32"/>
      <w:szCs w:val="32"/>
      <w:lang w:eastAsia="en-US" w:val="en-GB"/>
    </w:rPr>
  </w:style>
  <w:style w:type="character" w:styleId="Titre7Car" w:customStyle="1">
    <w:name w:val="Titre 7 Car"/>
    <w:basedOn w:val="Policepardfaut"/>
    <w:link w:val="Titre7"/>
    <w:semiHidden w:val="1"/>
    <w:rPr>
      <w:rFonts w:ascii="Calibri" w:cs="Times New Roman" w:eastAsia="Times New Roman" w:hAnsi="Calibri"/>
      <w:sz w:val="24"/>
      <w:szCs w:val="24"/>
      <w:lang w:eastAsia="en-US" w:val="en-GB"/>
    </w:rPr>
  </w:style>
  <w:style w:type="paragraph" w:styleId="Notedebasdepage">
    <w:name w:val="footnote text"/>
    <w:basedOn w:val="Normal"/>
    <w:link w:val="NotedebasdepageCar"/>
    <w:rPr>
      <w:sz w:val="20"/>
      <w:szCs w:val="20"/>
    </w:rPr>
  </w:style>
  <w:style w:type="character" w:styleId="NotedebasdepageCar" w:customStyle="1">
    <w:name w:val="Note de bas de page Car"/>
    <w:basedOn w:val="Policepardfaut"/>
    <w:link w:val="Notedebasdepage"/>
    <w:rPr>
      <w:rFonts w:ascii="Book Antiqua" w:hAnsi="Book Antiqua"/>
      <w:lang w:eastAsia="en-US" w:val="en-GB"/>
    </w:rPr>
  </w:style>
  <w:style w:type="character" w:styleId="Appelnotedebasdep">
    <w:name w:val="footnote reference"/>
    <w:basedOn w:val="Policepardfaut"/>
    <w:rPr>
      <w:vertAlign w:val="superscript"/>
    </w:rPr>
  </w:style>
  <w:style w:type="character" w:styleId="Marquedecommentaire">
    <w:name w:val="annotation reference"/>
    <w:basedOn w:val="Policepardfaut"/>
    <w:rPr>
      <w:sz w:val="16"/>
      <w:szCs w:val="16"/>
    </w:rPr>
  </w:style>
  <w:style w:type="paragraph" w:styleId="Commentaire">
    <w:name w:val="annotation text"/>
    <w:basedOn w:val="Normal"/>
    <w:link w:val="CommentaireCar"/>
    <w:rPr>
      <w:sz w:val="20"/>
      <w:szCs w:val="20"/>
    </w:rPr>
  </w:style>
  <w:style w:type="character" w:styleId="CommentaireCar" w:customStyle="1">
    <w:name w:val="Commentaire Car"/>
    <w:basedOn w:val="Policepardfaut"/>
    <w:link w:val="Commentaire"/>
    <w:rPr>
      <w:rFonts w:ascii="Book Antiqua" w:hAnsi="Book Antiqua"/>
      <w:lang w:eastAsia="en-US" w:val="en-GB"/>
    </w:rPr>
  </w:style>
  <w:style w:type="paragraph" w:styleId="Objetducommentaire">
    <w:name w:val="annotation subject"/>
    <w:basedOn w:val="Commentaire"/>
    <w:next w:val="Commentaire"/>
    <w:link w:val="ObjetducommentaireCar"/>
    <w:rPr>
      <w:b w:val="1"/>
      <w:bCs w:val="1"/>
    </w:rPr>
  </w:style>
  <w:style w:type="character" w:styleId="ObjetducommentaireCar" w:customStyle="1">
    <w:name w:val="Objet du commentaire Car"/>
    <w:basedOn w:val="CommentaireCar"/>
    <w:link w:val="Objetducommentaire"/>
    <w:rPr>
      <w:rFonts w:ascii="Book Antiqua" w:hAnsi="Book Antiqua"/>
      <w:b w:val="1"/>
      <w:bCs w:val="1"/>
      <w:lang w:eastAsia="en-US" w:val="en-GB"/>
    </w:rPr>
  </w:style>
  <w:style w:type="paragraph" w:styleId="Paragraphedeliste">
    <w:name w:val="List Paragraph"/>
    <w:basedOn w:val="Normal"/>
    <w:uiPriority w:val="34"/>
    <w:qFormat w:val="1"/>
    <w:pPr>
      <w:ind w:left="708"/>
    </w:pPr>
  </w:style>
  <w:style w:type="paragraph" w:styleId="B12Ashurst" w:customStyle="1">
    <w:name w:val="B1&amp;2Ashurst"/>
    <w:basedOn w:val="Normal"/>
    <w:link w:val="B12AshurstChar"/>
    <w:pPr>
      <w:tabs>
        <w:tab w:val="left" w:pos="1406"/>
        <w:tab w:val="left" w:pos="2030"/>
        <w:tab w:val="left" w:pos="2654"/>
        <w:tab w:val="left" w:pos="3277"/>
        <w:tab w:val="left" w:pos="3901"/>
      </w:tabs>
      <w:suppressAutoHyphens w:val="1"/>
      <w:spacing w:after="220" w:line="264" w:lineRule="auto"/>
      <w:ind w:left="782"/>
      <w:jc w:val="both"/>
    </w:pPr>
    <w:rPr>
      <w:rFonts w:ascii="Verdana" w:eastAsia="MS Mincho" w:hAnsi="Verdana"/>
      <w:sz w:val="18"/>
      <w:szCs w:val="20"/>
    </w:rPr>
  </w:style>
  <w:style w:type="character" w:styleId="B12AshurstChar" w:customStyle="1">
    <w:name w:val="B1&amp;2Ashurst Char"/>
    <w:basedOn w:val="Policepardfaut"/>
    <w:link w:val="B12Ashurst"/>
    <w:rPr>
      <w:rFonts w:ascii="Verdana" w:eastAsia="MS Mincho" w:hAnsi="Verdana"/>
      <w:sz w:val="18"/>
      <w:lang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UVsixsgzEKTwdJ0DlyWewW1+A==">AMUW2mXfXEPCMQdPTolpeeFnAaFgkx60trfvARr2Xv/n8ILbIPcAtg7CXXY2IvHaj50deiDqT49Yosfq59/dZsZLuJ59HI+il4c4E5J9Nm50kpFkZT0kgCGcGOEv0ekU1GoLXBKhHYSyi3/1FWe2SINj9FHx4SEH30rcLA+o6cqGkOSScmrITkGTpQrCLq42yGTvjb7l0UT7nPb17VI35+2VLFXVl6051Q==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2019-02-06T15:32:00.0000000Z</dcterms:created>
  <dc:creator>Utilisateur de Microsoft Office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gFAAbtDMpgn6UhrL+pUH+DmKAnXW3B3RVfbnJOUZFM7VBiOpLyPP/sjGOwi+B5f/xKGfI2319X2HmndR_x000d_
DQepVX7IxunkbY78TPqDDdddT4XiUkFJFF81yODIy1TflqRXtY9Dn0Dx9IroSaxRDQepVX7Ixunk_x000d_
bY78TPqDDdddT4XiUkFJFF81yODIy9hwDg5bEZKMz9nefBrJ37kXoPItXjokunTSlIbW7OKfmjT4_x000d_
B7+eUcApvCAgenIoW</vt:lpwstr>
  </property>
  <property fmtid="{D5CDD505-2E9C-101B-9397-08002B2CF9AE}" pid="3" name="MAIL_MSG_ID2">
    <vt:lpwstr>OIjr+Fz96oyrk9zt9tVrR1yv7CORVsELXtrnzjgCgZiyOnqZ5l39/8Mm+nA_x000d_
SYQN+V73z0eZx/wwGSVhHERa8OA+IZSKUrZBzA==</vt:lpwstr>
  </property>
  <property fmtid="{D5CDD505-2E9C-101B-9397-08002B2CF9AE}" pid="4" name="RESPONSE_SENDER_NAME">
    <vt:lpwstr>sAAAE34RQVAK31mksa2WKk4MV1mQ9RCl1i/DS2qjAvHRxDE=</vt:lpwstr>
  </property>
  <property fmtid="{D5CDD505-2E9C-101B-9397-08002B2CF9AE}" pid="5" name="EMAIL_OWNER_ADDRESS">
    <vt:lpwstr>4AAA9DNYQidmug7Ddpw395CA+KsLvmr9ZYiwkGmZk9KVR6UDrc9haoYCqw==</vt:lpwstr>
  </property>
  <property fmtid="{D5CDD505-2E9C-101B-9397-08002B2CF9AE}" pid="6" name="AshurstOurRef">
    <vt:lpwstr>CRP\CHA13.00056\3067634</vt:lpwstr>
  </property>
  <property fmtid="{D5CDD505-2E9C-101B-9397-08002B2CF9AE}" pid="7" name="AshurstVersionNumber">
    <vt:lpwstr/>
  </property>
  <property fmtid="{D5CDD505-2E9C-101B-9397-08002B2CF9AE}" pid="8" name="AshurstDocType">
    <vt:lpwstr/>
  </property>
  <property fmtid="{D5CDD505-2E9C-101B-9397-08002B2CF9AE}" pid="9" name="AshurstLibraryName">
    <vt:lpwstr/>
  </property>
  <property fmtid="{D5CDD505-2E9C-101B-9397-08002B2CF9AE}" pid="10" name="AshurstAuthorID">
    <vt:lpwstr/>
  </property>
  <property fmtid="{D5CDD505-2E9C-101B-9397-08002B2CF9AE}" pid="11" name="AshurstAuthorName">
    <vt:lpwstr/>
  </property>
  <property fmtid="{D5CDD505-2E9C-101B-9397-08002B2CF9AE}" pid="12" name="AshurstTypistID">
    <vt:lpwstr/>
  </property>
  <property fmtid="{D5CDD505-2E9C-101B-9397-08002B2CF9AE}" pid="13" name="AshurstTypistName">
    <vt:lpwstr/>
  </property>
  <property fmtid="{D5CDD505-2E9C-101B-9397-08002B2CF9AE}" pid="14" name="AshurstMatterDescription">
    <vt:lpwstr/>
  </property>
  <property fmtid="{D5CDD505-2E9C-101B-9397-08002B2CF9AE}" pid="15" name="AshurstFileNumber">
    <vt:lpwstr>CHA13.00056</vt:lpwstr>
  </property>
  <property fmtid="{D5CDD505-2E9C-101B-9397-08002B2CF9AE}" pid="16" name="AshurstDocRefCoverPage">
    <vt:lpwstr>\CHA13.00056</vt:lpwstr>
  </property>
  <property fmtid="{D5CDD505-2E9C-101B-9397-08002B2CF9AE}" pid="17" name="AshurstDocRef">
    <vt:lpwstr>14:44\16 novembre 2011\PARIS\CRP\3067634.03</vt:lpwstr>
  </property>
  <property fmtid="{D5CDD505-2E9C-101B-9397-08002B2CF9AE}" pid="18" name="AshurstDocNumber">
    <vt:lpwstr>3067634</vt:lpwstr>
  </property>
  <property fmtid="{D5CDD505-2E9C-101B-9397-08002B2CF9AE}" pid="19" name="document number">
    <vt:lpwstr>3067634\03</vt:lpwstr>
  </property>
  <property fmtid="{D5CDD505-2E9C-101B-9397-08002B2CF9AE}" pid="20" name="WS_RTS_TAG">
    <vt:lpwstr>uBAAMTKqdpB9/PFpuAIE8ypiTUIvpPMUcYG1YpwCaKSNfazaYLDWu07Lr05NVpLDwD0rUnkgr2nk7TgY_x000d_
zpBvlDmoxo5H8S9Pwnp8rdfkQqLyc/o=</vt:lpwstr>
  </property>
</Properties>
</file>