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21">
      <w:pPr>
        <w:rPr>
          <w:rFonts w:ascii="Roboto" w:cs="Roboto" w:eastAsia="Roboto" w:hAnsi="Roboto"/>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Mise en demeure préalable à une action en concurrence déloyale</w:t>
      </w:r>
    </w:p>
    <w:p w:rsidR="00000000" w:rsidDel="00000000" w:rsidP="00000000" w:rsidRDefault="00000000" w:rsidRPr="00000000" w14:paraId="0000002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rPr>
          <w:rFonts w:ascii="Roboto" w:cs="Roboto" w:eastAsia="Roboto" w:hAnsi="Roboto"/>
        </w:rPr>
      </w:pPr>
      <w:r w:rsidDel="00000000" w:rsidR="00000000" w:rsidRPr="00000000">
        <w:rPr>
          <w:rFonts w:ascii="Roboto" w:cs="Roboto" w:eastAsia="Roboto" w:hAnsi="Roboto"/>
          <w:b w:val="1"/>
          <w:u w:val="single"/>
          <w:rtl w:val="0"/>
        </w:rPr>
        <w:t xml:space="preserve">Observations liminaires</w:t>
      </w:r>
      <w:r w:rsidDel="00000000" w:rsidR="00000000" w:rsidRPr="00000000">
        <w:rPr>
          <w:rFonts w:ascii="Roboto" w:cs="Roboto" w:eastAsia="Roboto" w:hAnsi="Roboto"/>
          <w:rtl w:val="0"/>
        </w:rPr>
        <w:t xml:space="preserve">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rPr>
          <w:rFonts w:ascii="Roboto" w:cs="Roboto" w:eastAsia="Roboto" w:hAnsi="Roboto"/>
          <w:i w:val="1"/>
        </w:rPr>
      </w:pPr>
      <w:r w:rsidDel="00000000" w:rsidR="00000000" w:rsidRPr="00000000">
        <w:rPr>
          <w:rFonts w:ascii="Roboto" w:cs="Roboto" w:eastAsia="Roboto" w:hAnsi="Roboto"/>
          <w:i w:val="1"/>
          <w:rtl w:val="0"/>
        </w:rPr>
        <w:t xml:space="preserve">Il est important de retenir que la concurrence entre opérateurs économiques est parfaitement légitime et ce qui est interdit c’est le caractère déloyal des procédés (qui peuvent être multiples) employés dans le cadre de celle-ci.</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rPr>
          <w:rFonts w:ascii="Roboto" w:cs="Roboto" w:eastAsia="Roboto" w:hAnsi="Roboto"/>
          <w:i w:val="1"/>
        </w:rPr>
      </w:pPr>
      <w:r w:rsidDel="00000000" w:rsidR="00000000" w:rsidRPr="00000000">
        <w:rPr>
          <w:rFonts w:ascii="Roboto" w:cs="Roboto" w:eastAsia="Roboto" w:hAnsi="Roboto"/>
          <w:i w:val="1"/>
          <w:rtl w:val="0"/>
        </w:rPr>
        <w:t xml:space="preserve">En matière de concurrence déloyale, la préservation de la preuve de la réalité des agissements considérés comme tels est un préalable absolument nécessaire à toute action judiciaire. Elle s’effectue la plupart du temps par un constat d’huissier (lorsque cela est possible) et/ou le recueil de preuves de nature à le démontrer.</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Roboto" w:cs="Roboto" w:eastAsia="Roboto" w:hAnsi="Roboto"/>
          <w:i w:val="1"/>
        </w:rPr>
      </w:pPr>
      <w:r w:rsidDel="00000000" w:rsidR="00000000" w:rsidRPr="00000000">
        <w:rPr>
          <w:rFonts w:ascii="Roboto" w:cs="Roboto" w:eastAsia="Roboto" w:hAnsi="Roboto"/>
          <w:i w:val="1"/>
          <w:rtl w:val="0"/>
        </w:rPr>
        <w:t xml:space="preserve">L’envoi d’une mise en demeure aux fins de cessation de tels agissements, qui révèle votre connaissance de ceux-ci, ne peut être effectué qu’après.</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Roboto" w:cs="Roboto" w:eastAsia="Roboto" w:hAnsi="Roboto"/>
          <w:i w:val="1"/>
        </w:rPr>
      </w:pPr>
      <w:r w:rsidDel="00000000" w:rsidR="00000000" w:rsidRPr="00000000">
        <w:rPr>
          <w:rFonts w:ascii="Roboto" w:cs="Roboto" w:eastAsia="Roboto" w:hAnsi="Roboto"/>
          <w:i w:val="1"/>
          <w:rtl w:val="0"/>
        </w:rPr>
        <w:t xml:space="preserve">Ces agissements de concurrence déloyale peuvent être relevés en sus (et sous certaines conditions) d’acte de contrefaçon.</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Roboto" w:cs="Roboto" w:eastAsia="Roboto" w:hAnsi="Roboto"/>
          <w:i w:val="1"/>
        </w:rPr>
      </w:pPr>
      <w:r w:rsidDel="00000000" w:rsidR="00000000" w:rsidRPr="00000000">
        <w:rPr>
          <w:rFonts w:ascii="Roboto" w:cs="Roboto" w:eastAsia="Roboto" w:hAnsi="Roboto"/>
          <w:i w:val="1"/>
          <w:rtl w:val="0"/>
        </w:rPr>
        <w:t xml:space="preserve">Les situations de cette nature étant particulièrement diverses, il n’est pas possible de les envisager toutes, il sera donc nécessaire de les analyser au cas par cas.</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jc w:val="center"/>
        <w:rPr>
          <w:rFonts w:ascii="Roboto" w:cs="Roboto" w:eastAsia="Roboto" w:hAnsi="Roboto"/>
          <w:b w:val="1"/>
        </w:rPr>
      </w:pPr>
      <w:r w:rsidDel="00000000" w:rsidR="00000000" w:rsidRPr="00000000">
        <w:rPr>
          <w:rFonts w:ascii="Roboto" w:cs="Roboto" w:eastAsia="Roboto" w:hAnsi="Roboto"/>
          <w:b w:val="1"/>
          <w:rtl w:val="0"/>
        </w:rPr>
        <w:t xml:space="preserve">Lettre recommandée avec AR</w:t>
      </w:r>
    </w:p>
    <w:p w:rsidR="00000000" w:rsidDel="00000000" w:rsidP="00000000" w:rsidRDefault="00000000" w:rsidRPr="00000000" w14:paraId="0000002E">
      <w:pPr>
        <w:rPr>
          <w:rFonts w:ascii="Roboto" w:cs="Roboto" w:eastAsia="Roboto" w:hAnsi="Roboto"/>
        </w:rPr>
      </w:pPr>
      <w:r w:rsidDel="00000000" w:rsidR="00000000" w:rsidRPr="00000000">
        <w:rPr>
          <w:rtl w:val="0"/>
        </w:rPr>
      </w:r>
    </w:p>
    <w:p w:rsidR="00000000" w:rsidDel="00000000" w:rsidP="00000000" w:rsidRDefault="00000000" w:rsidRPr="00000000" w14:paraId="0000002F">
      <w:pPr>
        <w:rPr>
          <w:rFonts w:ascii="Roboto" w:cs="Roboto" w:eastAsia="Roboto" w:hAnsi="Roboto"/>
        </w:rPr>
      </w:pPr>
      <w:r w:rsidDel="00000000" w:rsidR="00000000" w:rsidRPr="00000000">
        <w:rPr>
          <w:rFonts w:ascii="Roboto" w:cs="Roboto" w:eastAsia="Roboto" w:hAnsi="Roboto"/>
          <w:rtl w:val="0"/>
        </w:rPr>
        <w:t xml:space="preserve">Cher Monsieur, Chère Madame,</w:t>
      </w:r>
    </w:p>
    <w:p w:rsidR="00000000" w:rsidDel="00000000" w:rsidP="00000000" w:rsidRDefault="00000000" w:rsidRPr="00000000" w14:paraId="00000030">
      <w:pPr>
        <w:rPr>
          <w:rFonts w:ascii="Roboto" w:cs="Roboto" w:eastAsia="Roboto" w:hAnsi="Roboto"/>
        </w:rPr>
      </w:pPr>
      <w:r w:rsidDel="00000000" w:rsidR="00000000" w:rsidRPr="00000000">
        <w:rPr>
          <w:rtl w:val="0"/>
        </w:rPr>
      </w:r>
    </w:p>
    <w:p w:rsidR="00000000" w:rsidDel="00000000" w:rsidP="00000000" w:rsidRDefault="00000000" w:rsidRPr="00000000" w14:paraId="00000031">
      <w:pPr>
        <w:rPr>
          <w:rFonts w:ascii="Roboto" w:cs="Roboto" w:eastAsia="Roboto" w:hAnsi="Roboto"/>
        </w:rPr>
      </w:pPr>
      <w:r w:rsidDel="00000000" w:rsidR="00000000" w:rsidRPr="00000000">
        <w:rPr>
          <w:rFonts w:ascii="Roboto" w:cs="Roboto" w:eastAsia="Roboto" w:hAnsi="Roboto"/>
          <w:rtl w:val="0"/>
        </w:rPr>
        <w:t xml:space="preserve">Nous avons constaté que votre société exploite son activité selon des moyens et des procédés que nous considérons comme déloyaux à notre égard pour les raisons qui suivent.</w:t>
      </w:r>
    </w:p>
    <w:p w:rsidR="00000000" w:rsidDel="00000000" w:rsidP="00000000" w:rsidRDefault="00000000" w:rsidRPr="00000000" w14:paraId="00000032">
      <w:pPr>
        <w:rPr>
          <w:rFonts w:ascii="Roboto" w:cs="Roboto" w:eastAsia="Roboto" w:hAnsi="Roboto"/>
        </w:rPr>
      </w:pPr>
      <w:r w:rsidDel="00000000" w:rsidR="00000000" w:rsidRPr="00000000">
        <w:rPr>
          <w:rtl w:val="0"/>
        </w:rPr>
      </w:r>
    </w:p>
    <w:p w:rsidR="00000000" w:rsidDel="00000000" w:rsidP="00000000" w:rsidRDefault="00000000" w:rsidRPr="00000000" w14:paraId="00000033">
      <w:pPr>
        <w:rPr>
          <w:rFonts w:ascii="Roboto" w:cs="Roboto" w:eastAsia="Roboto" w:hAnsi="Roboto"/>
          <w:i w:val="1"/>
          <w:color w:val="7f7f7f"/>
        </w:rPr>
      </w:pPr>
      <w:r w:rsidDel="00000000" w:rsidR="00000000" w:rsidRPr="00000000">
        <w:rPr>
          <w:rFonts w:ascii="Roboto" w:cs="Roboto" w:eastAsia="Roboto" w:hAnsi="Roboto"/>
          <w:rtl w:val="0"/>
        </w:rPr>
        <w:t xml:space="preserve">En effet, nous avons constaté </w:t>
      </w:r>
      <w:r w:rsidDel="00000000" w:rsidR="00000000" w:rsidRPr="00000000">
        <w:rPr>
          <w:rFonts w:ascii="Roboto" w:cs="Roboto" w:eastAsia="Roboto" w:hAnsi="Roboto"/>
          <w:b w:val="1"/>
          <w:i w:val="1"/>
          <w:color w:val="7f7f7f"/>
          <w:rtl w:val="0"/>
        </w:rPr>
        <w:t xml:space="preserve">[À DÉFINIR ET À PRÉCISER]</w:t>
      </w:r>
      <w:r w:rsidDel="00000000" w:rsidR="00000000" w:rsidRPr="00000000">
        <w:rPr>
          <w:rtl w:val="0"/>
        </w:rPr>
      </w:r>
    </w:p>
    <w:p w:rsidR="00000000" w:rsidDel="00000000" w:rsidP="00000000" w:rsidRDefault="00000000" w:rsidRPr="00000000" w14:paraId="00000034">
      <w:pPr>
        <w:rPr>
          <w:rFonts w:ascii="Roboto" w:cs="Roboto" w:eastAsia="Roboto" w:hAnsi="Roboto"/>
        </w:rPr>
      </w:pPr>
      <w:r w:rsidDel="00000000" w:rsidR="00000000" w:rsidRPr="00000000">
        <w:rPr>
          <w:rtl w:val="0"/>
        </w:rPr>
      </w:r>
    </w:p>
    <w:p w:rsidR="00000000" w:rsidDel="00000000" w:rsidP="00000000" w:rsidRDefault="00000000" w:rsidRPr="00000000" w14:paraId="00000035">
      <w:pPr>
        <w:rPr>
          <w:rFonts w:ascii="Roboto" w:cs="Roboto" w:eastAsia="Roboto" w:hAnsi="Roboto"/>
        </w:rPr>
      </w:pPr>
      <w:r w:rsidDel="00000000" w:rsidR="00000000" w:rsidRPr="00000000">
        <w:rPr>
          <w:rFonts w:ascii="Roboto" w:cs="Roboto" w:eastAsia="Roboto" w:hAnsi="Roboto"/>
          <w:rtl w:val="0"/>
        </w:rPr>
        <w:t xml:space="preserve">Nous ne pouvons laisser perdurer cette situation qui nous cause un préjudice important.</w:t>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Fonts w:ascii="Roboto" w:cs="Roboto" w:eastAsia="Roboto" w:hAnsi="Roboto"/>
          <w:rtl w:val="0"/>
        </w:rPr>
        <w:t xml:space="preserve">Dans ces conditions, et à défaut de mettre un terme immédiatement à vos agissements que nous considérons comme de la concurrence déloyale, nous mettrons en œuvre toutes voies de droit aux fins de la préservation de nos intérêts et la cessation de cette situation.</w:t>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[Formule de politesse]</w:t>
      </w:r>
    </w:p>
    <w:p w:rsidR="00000000" w:rsidDel="00000000" w:rsidP="00000000" w:rsidRDefault="00000000" w:rsidRPr="00000000" w14:paraId="0000003A">
      <w:pPr>
        <w:rPr>
          <w:rFonts w:ascii="Roboto" w:cs="Roboto" w:eastAsia="Roboto" w:hAnsi="Roboto"/>
        </w:rPr>
      </w:pPr>
      <w:r w:rsidDel="00000000" w:rsidR="00000000" w:rsidRPr="00000000">
        <w:rPr>
          <w:rtl w:val="0"/>
        </w:rPr>
      </w:r>
    </w:p>
    <w:p w:rsidR="00000000" w:rsidDel="00000000" w:rsidP="00000000" w:rsidRDefault="00000000" w:rsidRPr="00000000" w14:paraId="0000003B">
      <w:pPr>
        <w:rPr>
          <w:rFonts w:ascii="Roboto" w:cs="Roboto" w:eastAsia="Roboto" w:hAnsi="Roboto"/>
        </w:rPr>
      </w:pPr>
      <w:r w:rsidDel="00000000" w:rsidR="00000000" w:rsidRPr="00000000">
        <w:rPr>
          <w:rtl w:val="0"/>
        </w:rPr>
      </w:r>
    </w:p>
    <w:sectPr>
      <w:footerReference r:id="rId8" w:type="default"/>
      <w:footerReference r:id="rId9" w:type="first"/>
      <w:footerReference r:id="rId10" w:type="even"/>
      <w:pgSz w:h="16838" w:w="11906"/>
      <w:pgMar w:bottom="1418" w:top="703"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ind w:right="360"/>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480" w:lineRule="auto"/>
      <w:jc w:val="center"/>
    </w:pPr>
    <w:rPr>
      <w:b w:val="1"/>
      <w:sz w:val="28"/>
      <w:szCs w:val="28"/>
    </w:rPr>
  </w:style>
  <w:style w:type="paragraph" w:styleId="Heading2">
    <w:name w:val="heading 2"/>
    <w:basedOn w:val="Normal"/>
    <w:next w:val="Normal"/>
    <w:pPr>
      <w:keepNext w:val="1"/>
      <w:spacing w:before="240" w:lineRule="auto"/>
      <w:jc w:val="left"/>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jc w:val="both"/>
    </w:pPr>
    <w:rPr>
      <w:sz w:val="24"/>
    </w:rPr>
  </w:style>
  <w:style w:type="paragraph" w:styleId="Titre1">
    <w:name w:val="heading 1"/>
    <w:aliases w:val="Titre 1 Acte"/>
    <w:basedOn w:val="Normal"/>
    <w:next w:val="Normal"/>
    <w:qFormat w:val="1"/>
    <w:pPr>
      <w:keepNext w:val="1"/>
      <w:spacing w:after="480"/>
      <w:jc w:val="center"/>
      <w:outlineLvl w:val="0"/>
    </w:pPr>
    <w:rPr>
      <w:b w:val="1"/>
      <w:sz w:val="28"/>
    </w:rPr>
  </w:style>
  <w:style w:type="paragraph" w:styleId="Titre2">
    <w:name w:val="heading 2"/>
    <w:aliases w:val="Titre 2 Acte"/>
    <w:basedOn w:val="Normal"/>
    <w:next w:val="Normal"/>
    <w:qFormat w:val="1"/>
    <w:pPr>
      <w:keepNext w:val="1"/>
      <w:spacing w:before="240"/>
      <w:jc w:val="left"/>
      <w:outlineLvl w:val="1"/>
    </w:pPr>
    <w:rPr>
      <w:b w:val="1"/>
      <w:u w:val="singl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Adresse" w:customStyle="1">
    <w:name w:val="Adresse"/>
    <w:basedOn w:val="Normal"/>
    <w:next w:val="Normal"/>
    <w:pPr>
      <w:ind w:left="4820"/>
      <w:jc w:val="left"/>
    </w:pPr>
    <w:rPr>
      <w:b w:val="1"/>
    </w:rPr>
  </w:style>
  <w:style w:type="paragraph" w:styleId="Normalsansretrait" w:customStyle="1">
    <w:name w:val="Normal sans retrait"/>
    <w:basedOn w:val="Normal"/>
    <w:next w:val="Normal"/>
    <w:pPr>
      <w:jc w:val="left"/>
    </w:pPr>
  </w:style>
  <w:style w:type="paragraph" w:styleId="Titre3Acte" w:customStyle="1">
    <w:name w:val="Titre 3 Acte"/>
    <w:basedOn w:val="Titre2"/>
    <w:next w:val="Normal"/>
    <w:pPr>
      <w:spacing w:before="0"/>
      <w:ind w:left="1134"/>
    </w:pPr>
    <w:rPr>
      <w:b w:val="0"/>
    </w:rPr>
  </w:style>
  <w:style w:type="paragraph" w:styleId="Question" w:customStyle="1">
    <w:name w:val="Question"/>
    <w:basedOn w:val="Normalsansretrait"/>
    <w:next w:val="Normal"/>
    <w:pPr>
      <w:shd w:color="auto" w:fill="008080" w:val="clear"/>
      <w:jc w:val="center"/>
    </w:pPr>
  </w:style>
  <w:style w:type="paragraph" w:styleId="Facture" w:customStyle="1">
    <w:name w:val="Facture"/>
    <w:basedOn w:val="Normal"/>
    <w:pPr>
      <w:tabs>
        <w:tab w:val="decimal" w:pos="3969"/>
        <w:tab w:val="decimal" w:pos="5103"/>
        <w:tab w:val="decimal" w:pos="6237"/>
        <w:tab w:val="decimal" w:pos="7371"/>
        <w:tab w:val="decimal" w:pos="8647"/>
      </w:tabs>
      <w:jc w:val="left"/>
    </w:pPr>
  </w:style>
  <w:style w:type="paragraph" w:styleId="FactureTotal" w:customStyle="1">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after="240" w:before="120"/>
    </w:pPr>
    <w:rPr>
      <w:b w:val="1"/>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style>
  <w:style w:type="character" w:styleId="PieddepageCar" w:customStyle="1">
    <w:name w:val="Pied de page Car"/>
    <w:link w:val="Pieddepage"/>
    <w:uiPriority w:val="99"/>
    <w:rsid w:val="00923839"/>
    <w:rPr>
      <w:sz w:val="24"/>
    </w:rPr>
  </w:style>
  <w:style w:type="character" w:styleId="Lienhypertexte">
    <w:name w:val="Hyperlink"/>
    <w:uiPriority w:val="99"/>
    <w:unhideWhenUsed w:val="1"/>
    <w:rsid w:val="00923839"/>
    <w:rPr>
      <w:color w:val="666666"/>
      <w:u w:val="single"/>
    </w:rPr>
  </w:style>
  <w:style w:type="paragraph" w:styleId="paragraph" w:customStyle="1">
    <w:name w:val="paragraph"/>
    <w:basedOn w:val="Normal"/>
    <w:rsid w:val="0095136F"/>
    <w:pPr>
      <w:spacing w:after="100" w:afterAutospacing="1" w:before="100" w:beforeAutospacing="1"/>
      <w:jc w:val="left"/>
    </w:pPr>
    <w:rPr>
      <w:rFonts w:eastAsia="Calibri"/>
      <w:szCs w:val="24"/>
    </w:rPr>
  </w:style>
  <w:style w:type="character" w:styleId="spellingerror" w:customStyle="1">
    <w:name w:val="spellingerror"/>
    <w:rsid w:val="0095136F"/>
  </w:style>
  <w:style w:type="character" w:styleId="normaltextrun" w:customStyle="1">
    <w:name w:val="normaltextrun"/>
    <w:rsid w:val="0095136F"/>
  </w:style>
  <w:style w:type="character" w:styleId="apple-converted-space" w:customStyle="1">
    <w:name w:val="apple-converted-space"/>
    <w:rsid w:val="0095136F"/>
  </w:style>
  <w:style w:type="character" w:styleId="eop" w:customStyle="1">
    <w:name w:val="eop"/>
    <w:rsid w:val="0095136F"/>
  </w:style>
  <w:style w:type="character" w:styleId="Numrodepage">
    <w:name w:val="page number"/>
    <w:rsid w:val="0095136F"/>
  </w:style>
  <w:style w:type="paragraph" w:styleId="Textedebulles">
    <w:name w:val="Balloon Text"/>
    <w:basedOn w:val="Normal"/>
    <w:link w:val="TextedebullesCar"/>
    <w:rsid w:val="000271A2"/>
    <w:rPr>
      <w:sz w:val="18"/>
      <w:szCs w:val="18"/>
    </w:rPr>
  </w:style>
  <w:style w:type="character" w:styleId="TextedebullesCar" w:customStyle="1">
    <w:name w:val="Texte de bulles Car"/>
    <w:link w:val="Textedebulles"/>
    <w:rsid w:val="000271A2"/>
    <w:rPr>
      <w:sz w:val="18"/>
      <w:szCs w:val="18"/>
    </w:rPr>
  </w:style>
  <w:style w:type="character" w:styleId="scxw137346434" w:customStyle="1">
    <w:name w:val="scxw137346434"/>
    <w:rsid w:val="000271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iUgmd+IA15cDeQu/XAtdrR0gg==">AMUW2mVUruqTOAXcdMgaeAdp/6h4uZfKFgzyTx4i46ckuD1u0yiIfdc3+8wHyi/XlbF5eHZv1NGzZ0vJQ8lipwr7YSrsec442vkVz8i3iyAS+6cCWsy7OoMqIAyABvWlmXEAE3A+amml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2019-03-19T08:47:00Z</dcterms:created>
  <dc:creator>Utilisateur de Microsoft Office</dc:creator>
</cp:coreProperties>
</file>