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AD68AD" w:rsidR="00A24267" w:rsidRDefault="00AD2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Odovzdávací a preberací protokol</w:t>
      </w:r>
    </w:p>
    <w:p w14:paraId="00000002" w14:textId="77777777" w:rsidR="00A24267" w:rsidRDefault="00AD2E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(ďalej len „Protokol“)</w:t>
      </w:r>
    </w:p>
    <w:p w14:paraId="00000003" w14:textId="77777777" w:rsidR="00A24267" w:rsidRDefault="00A2426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4" w14:textId="77777777" w:rsidR="00A24267" w:rsidRDefault="00AD2E2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uzatvorený medzi:</w:t>
      </w:r>
    </w:p>
    <w:p w14:paraId="00000005" w14:textId="77777777" w:rsidR="00A24267" w:rsidRDefault="00A2426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620C9F" w14:textId="60628F3A" w:rsidR="00711D4F" w:rsidRPr="005A3090" w:rsidRDefault="00711D4F" w:rsidP="00711D4F">
      <w:pPr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u w:val="single"/>
          <w:shd w:val="clear" w:color="auto" w:fill="FFFFFF"/>
          <w:lang w:eastAsia="sk-SK"/>
        </w:rPr>
        <w:t>Prenajímateľ:</w:t>
      </w:r>
      <w:r w:rsidRPr="005A3090">
        <w:rPr>
          <w:rFonts w:ascii="Times New Roman" w:eastAsia="Times New Roman" w:hAnsi="Times New Roman"/>
          <w:shd w:val="clear" w:color="auto" w:fill="FFFFFF"/>
          <w:lang w:eastAsia="sk-SK"/>
        </w:rPr>
        <w:tab/>
      </w:r>
      <w:r w:rsidRPr="005A3090">
        <w:rPr>
          <w:rFonts w:ascii="Times New Roman" w:eastAsia="Times New Roman" w:hAnsi="Times New Roman"/>
          <w:shd w:val="clear" w:color="auto" w:fill="FFFFFF"/>
          <w:lang w:eastAsia="sk-SK"/>
        </w:rPr>
        <w:tab/>
      </w:r>
      <w:r w:rsidRPr="005A3090">
        <w:rPr>
          <w:rFonts w:ascii="Times New Roman" w:eastAsia="Times New Roman" w:hAnsi="Times New Roman"/>
          <w:shd w:val="clear" w:color="auto" w:fill="FFFFFF"/>
          <w:lang w:eastAsia="sk-SK"/>
        </w:rPr>
        <w:tab/>
      </w:r>
      <w:r w:rsidR="00313BCE">
        <w:rPr>
          <w:rFonts w:ascii="Times New Roman" w:eastAsia="Times New Roman" w:hAnsi="Times New Roman"/>
          <w:b/>
          <w:lang w:eastAsia="zh-CN"/>
        </w:rPr>
        <w:t>...</w:t>
      </w:r>
      <w:r w:rsidRPr="005A3090">
        <w:rPr>
          <w:rFonts w:ascii="Times New Roman" w:eastAsia="Times New Roman" w:hAnsi="Times New Roman"/>
          <w:b/>
          <w:lang w:eastAsia="zh-CN"/>
        </w:rPr>
        <w:t xml:space="preserve">, </w:t>
      </w:r>
      <w:r w:rsidRPr="005A3090">
        <w:rPr>
          <w:rFonts w:ascii="Times New Roman" w:eastAsia="Times New Roman" w:hAnsi="Times New Roman"/>
          <w:bCs/>
          <w:lang w:eastAsia="zh-CN"/>
        </w:rPr>
        <w:t xml:space="preserve">rod. </w:t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328AFFB6" w14:textId="5723F295" w:rsidR="00711D4F" w:rsidRPr="005A3090" w:rsidRDefault="00711D4F" w:rsidP="00711D4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dátum narodenia:   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1980BBB1" w14:textId="32901682" w:rsidR="00711D4F" w:rsidRPr="005A3090" w:rsidRDefault="00711D4F" w:rsidP="00711D4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rodné číslo: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7AAD2F38" w14:textId="3E7E13DA" w:rsidR="00711D4F" w:rsidRPr="005A3090" w:rsidRDefault="00711D4F" w:rsidP="00711D4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trvale bytom: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60F960D7" w14:textId="77777777" w:rsidR="00711D4F" w:rsidRPr="005A3090" w:rsidRDefault="00711D4F" w:rsidP="00711D4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štátna príslušnosť: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  <w:t>SR</w:t>
      </w:r>
    </w:p>
    <w:p w14:paraId="5A050EB7" w14:textId="7CED0698" w:rsidR="00711D4F" w:rsidRPr="005A3090" w:rsidRDefault="00711D4F" w:rsidP="00711D4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 xml:space="preserve">IBAN:                                  </w:t>
      </w:r>
      <w:r w:rsidRPr="005A3090">
        <w:rPr>
          <w:rFonts w:ascii="Times New Roman" w:eastAsia="Times New Roman" w:hAnsi="Times New Roman"/>
          <w:lang w:eastAsia="zh-CN"/>
        </w:rPr>
        <w:tab/>
      </w:r>
      <w:r w:rsidR="00313BCE">
        <w:rPr>
          <w:rFonts w:ascii="Times New Roman" w:eastAsia="Times New Roman" w:hAnsi="Times New Roman"/>
          <w:lang w:eastAsia="zh-CN"/>
        </w:rPr>
        <w:t>SK</w:t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0F1270EE" w14:textId="48B59321" w:rsidR="00711D4F" w:rsidRPr="005A3090" w:rsidRDefault="00711D4F" w:rsidP="00711D4F">
      <w:pPr>
        <w:widowControl w:val="0"/>
        <w:suppressAutoHyphens/>
        <w:autoSpaceDN w:val="0"/>
        <w:spacing w:after="0" w:line="240" w:lineRule="auto"/>
        <w:ind w:left="2835" w:hanging="2835"/>
        <w:contextualSpacing/>
        <w:textAlignment w:val="baseline"/>
        <w:outlineLvl w:val="0"/>
        <w:rPr>
          <w:rFonts w:ascii="Times New Roman" w:hAnsi="Times New Roman"/>
          <w:i/>
        </w:rPr>
      </w:pPr>
      <w:r w:rsidRPr="005A3090">
        <w:rPr>
          <w:rFonts w:ascii="Times New Roman" w:eastAsia="Times New Roman" w:hAnsi="Times New Roman"/>
          <w:lang w:eastAsia="zh-CN"/>
        </w:rPr>
        <w:t>kontakt, e-mail: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  <w:r w:rsidRPr="005A3090">
        <w:rPr>
          <w:rFonts w:ascii="Times New Roman" w:eastAsia="Times New Roman" w:hAnsi="Times New Roman"/>
          <w:lang w:eastAsia="zh-CN"/>
        </w:rPr>
        <w:t xml:space="preserve">@, </w:t>
      </w:r>
      <w:r w:rsidR="00313BCE">
        <w:rPr>
          <w:rFonts w:ascii="Times New Roman" w:eastAsia="Times New Roman" w:hAnsi="Times New Roman"/>
          <w:lang w:eastAsia="zh-CN"/>
        </w:rPr>
        <w:t xml:space="preserve">+421 </w:t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518303E5" w14:textId="7CD99E94" w:rsidR="00711D4F" w:rsidRPr="005A3090" w:rsidRDefault="00711D4F" w:rsidP="00711D4F">
      <w:pPr>
        <w:widowControl w:val="0"/>
        <w:suppressAutoHyphens/>
        <w:autoSpaceDN w:val="0"/>
        <w:spacing w:after="0" w:line="240" w:lineRule="auto"/>
        <w:ind w:left="2835"/>
        <w:contextualSpacing/>
        <w:textAlignment w:val="baseline"/>
        <w:outlineLvl w:val="0"/>
        <w:rPr>
          <w:rFonts w:ascii="Times New Roman" w:hAnsi="Times New Roman"/>
        </w:rPr>
      </w:pPr>
      <w:r w:rsidRPr="005A3090">
        <w:rPr>
          <w:rFonts w:ascii="Times New Roman" w:hAnsi="Times New Roman"/>
          <w:i/>
        </w:rPr>
        <w:t>(ďalej len „</w:t>
      </w:r>
      <w:r>
        <w:rPr>
          <w:rFonts w:ascii="Times New Roman" w:hAnsi="Times New Roman"/>
          <w:b/>
          <w:i/>
        </w:rPr>
        <w:t>Odovzdávajúci</w:t>
      </w:r>
      <w:r w:rsidRPr="005A3090">
        <w:rPr>
          <w:rFonts w:ascii="Times New Roman" w:hAnsi="Times New Roman"/>
          <w:i/>
        </w:rPr>
        <w:t>“)</w:t>
      </w:r>
    </w:p>
    <w:p w14:paraId="2A395331" w14:textId="77777777" w:rsidR="00711D4F" w:rsidRPr="005A3090" w:rsidRDefault="00711D4F" w:rsidP="00711D4F">
      <w:pPr>
        <w:pStyle w:val="JSzkladn"/>
        <w:jc w:val="left"/>
        <w:rPr>
          <w:rFonts w:ascii="Times New Roman" w:hAnsi="Times New Roman" w:cs="Times New Roman"/>
          <w:b/>
          <w:sz w:val="22"/>
          <w:szCs w:val="22"/>
        </w:rPr>
      </w:pPr>
      <w:r w:rsidRPr="005A3090">
        <w:rPr>
          <w:rFonts w:ascii="Times New Roman" w:hAnsi="Times New Roman" w:cs="Times New Roman"/>
          <w:b/>
          <w:sz w:val="22"/>
          <w:szCs w:val="22"/>
        </w:rPr>
        <w:t>a</w:t>
      </w:r>
    </w:p>
    <w:p w14:paraId="743940F6" w14:textId="77777777" w:rsidR="00711D4F" w:rsidRPr="005A3090" w:rsidRDefault="00711D4F" w:rsidP="00711D4F">
      <w:pPr>
        <w:pStyle w:val="JSzkladn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03C29D3F" w14:textId="77777777" w:rsidR="00313BCE" w:rsidRPr="005A3090" w:rsidRDefault="00711D4F" w:rsidP="00313BCE">
      <w:pPr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u w:val="single"/>
          <w:shd w:val="clear" w:color="auto" w:fill="FFFFFF"/>
          <w:lang w:eastAsia="sk-SK"/>
        </w:rPr>
        <w:t>Nájomca:</w:t>
      </w:r>
      <w:r w:rsidRPr="005A3090">
        <w:rPr>
          <w:rFonts w:ascii="Times New Roman" w:eastAsia="Times New Roman" w:hAnsi="Times New Roman"/>
          <w:shd w:val="clear" w:color="auto" w:fill="FFFFFF"/>
          <w:lang w:eastAsia="sk-SK"/>
        </w:rPr>
        <w:tab/>
      </w:r>
      <w:r w:rsidRPr="005A3090">
        <w:rPr>
          <w:rFonts w:ascii="Times New Roman" w:eastAsia="Times New Roman" w:hAnsi="Times New Roman"/>
          <w:shd w:val="clear" w:color="auto" w:fill="FFFFFF"/>
          <w:lang w:eastAsia="sk-SK"/>
        </w:rPr>
        <w:tab/>
      </w:r>
      <w:r w:rsidRPr="005A3090">
        <w:rPr>
          <w:rFonts w:ascii="Times New Roman" w:eastAsia="Times New Roman" w:hAnsi="Times New Roman"/>
          <w:shd w:val="clear" w:color="auto" w:fill="FFFFFF"/>
          <w:lang w:eastAsia="sk-SK"/>
        </w:rPr>
        <w:tab/>
      </w:r>
      <w:r w:rsidR="00313BCE">
        <w:rPr>
          <w:rFonts w:ascii="Times New Roman" w:eastAsia="Times New Roman" w:hAnsi="Times New Roman"/>
          <w:b/>
          <w:lang w:eastAsia="zh-CN"/>
        </w:rPr>
        <w:t>...</w:t>
      </w:r>
      <w:r w:rsidR="00313BCE" w:rsidRPr="005A3090">
        <w:rPr>
          <w:rFonts w:ascii="Times New Roman" w:eastAsia="Times New Roman" w:hAnsi="Times New Roman"/>
          <w:b/>
          <w:lang w:eastAsia="zh-CN"/>
        </w:rPr>
        <w:t xml:space="preserve">, </w:t>
      </w:r>
      <w:r w:rsidR="00313BCE" w:rsidRPr="005A3090">
        <w:rPr>
          <w:rFonts w:ascii="Times New Roman" w:eastAsia="Times New Roman" w:hAnsi="Times New Roman"/>
          <w:bCs/>
          <w:lang w:eastAsia="zh-CN"/>
        </w:rPr>
        <w:t xml:space="preserve">rod. </w:t>
      </w:r>
      <w:r w:rsidR="00313BCE"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5C173156" w14:textId="77777777" w:rsidR="00313BCE" w:rsidRPr="005A3090" w:rsidRDefault="00313BCE" w:rsidP="00313BC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dátum narodenia:   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00CC8A9A" w14:textId="77777777" w:rsidR="00313BCE" w:rsidRPr="005A3090" w:rsidRDefault="00313BCE" w:rsidP="00313BCE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rodné číslo: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41EDDC62" w14:textId="77777777" w:rsidR="00313BCE" w:rsidRPr="005A3090" w:rsidRDefault="00313BCE" w:rsidP="00313BC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trvale bytom: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5D2C7C69" w14:textId="77777777" w:rsidR="00313BCE" w:rsidRPr="005A3090" w:rsidRDefault="00313BCE" w:rsidP="00313BC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>štátna príslušnosť: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  <w:t>SR</w:t>
      </w:r>
    </w:p>
    <w:p w14:paraId="0EADA12A" w14:textId="77777777" w:rsidR="00313BCE" w:rsidRPr="005A3090" w:rsidRDefault="00313BCE" w:rsidP="00313BC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5A3090">
        <w:rPr>
          <w:rFonts w:ascii="Times New Roman" w:eastAsia="Times New Roman" w:hAnsi="Times New Roman"/>
          <w:lang w:eastAsia="zh-CN"/>
        </w:rPr>
        <w:t xml:space="preserve">IBAN:                                  </w:t>
      </w:r>
      <w:r w:rsidRPr="005A3090"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SK</w:t>
      </w:r>
      <w:r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360C73A4" w14:textId="77777777" w:rsidR="00313BCE" w:rsidRPr="005A3090" w:rsidRDefault="00313BCE" w:rsidP="00313BCE">
      <w:pPr>
        <w:widowControl w:val="0"/>
        <w:suppressAutoHyphens/>
        <w:autoSpaceDN w:val="0"/>
        <w:spacing w:after="0" w:line="240" w:lineRule="auto"/>
        <w:ind w:left="2835" w:hanging="2835"/>
        <w:contextualSpacing/>
        <w:textAlignment w:val="baseline"/>
        <w:outlineLvl w:val="0"/>
        <w:rPr>
          <w:rFonts w:ascii="Times New Roman" w:hAnsi="Times New Roman"/>
          <w:i/>
        </w:rPr>
      </w:pPr>
      <w:r w:rsidRPr="005A3090">
        <w:rPr>
          <w:rFonts w:ascii="Times New Roman" w:eastAsia="Times New Roman" w:hAnsi="Times New Roman"/>
          <w:lang w:eastAsia="zh-CN"/>
        </w:rPr>
        <w:t>kontakt, e-mail:</w:t>
      </w:r>
      <w:r w:rsidRPr="005A3090">
        <w:rPr>
          <w:rFonts w:ascii="Times New Roman" w:eastAsia="Times New Roman" w:hAnsi="Times New Roman"/>
          <w:lang w:eastAsia="zh-CN"/>
        </w:rPr>
        <w:tab/>
      </w:r>
      <w:r w:rsidRPr="005A3090">
        <w:rPr>
          <w:rFonts w:ascii="Times New Roman" w:eastAsia="Times New Roman" w:hAnsi="Times New Roman"/>
          <w:lang w:eastAsia="zh-CN"/>
        </w:rPr>
        <w:tab/>
      </w:r>
      <w:r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  <w:r w:rsidRPr="005A3090">
        <w:rPr>
          <w:rFonts w:ascii="Times New Roman" w:eastAsia="Times New Roman" w:hAnsi="Times New Roman"/>
          <w:lang w:eastAsia="zh-CN"/>
        </w:rPr>
        <w:t xml:space="preserve">@, </w:t>
      </w:r>
      <w:r>
        <w:rPr>
          <w:rFonts w:ascii="Times New Roman" w:eastAsia="Times New Roman" w:hAnsi="Times New Roman"/>
          <w:lang w:eastAsia="zh-CN"/>
        </w:rPr>
        <w:t xml:space="preserve">+421 </w:t>
      </w:r>
      <w:r w:rsidRPr="00313BCE">
        <w:rPr>
          <w:rFonts w:ascii="Times New Roman" w:eastAsia="Times New Roman" w:hAnsi="Times New Roman"/>
          <w:bCs/>
          <w:highlight w:val="yellow"/>
          <w:lang w:eastAsia="zh-CN"/>
        </w:rPr>
        <w:t>...</w:t>
      </w:r>
    </w:p>
    <w:p w14:paraId="0000001D" w14:textId="6FF31B54" w:rsidR="00A24267" w:rsidRPr="00313BCE" w:rsidRDefault="00711D4F" w:rsidP="00313BCE">
      <w:pPr>
        <w:autoSpaceDE w:val="0"/>
        <w:spacing w:after="0" w:line="240" w:lineRule="auto"/>
        <w:rPr>
          <w:rFonts w:ascii="Times New Roman" w:hAnsi="Times New Roman"/>
          <w:i/>
        </w:rPr>
      </w:pPr>
      <w:r w:rsidRPr="005A3090">
        <w:rPr>
          <w:rFonts w:ascii="Times New Roman" w:hAnsi="Times New Roman"/>
          <w:i/>
        </w:rPr>
        <w:t xml:space="preserve"> </w:t>
      </w:r>
      <w:r w:rsidRPr="005A309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5A3090">
        <w:rPr>
          <w:rFonts w:ascii="Times New Roman" w:hAnsi="Times New Roman"/>
          <w:i/>
        </w:rPr>
        <w:t>(ďalej len „</w:t>
      </w:r>
      <w:r>
        <w:rPr>
          <w:rFonts w:ascii="Times New Roman" w:hAnsi="Times New Roman"/>
          <w:b/>
          <w:i/>
        </w:rPr>
        <w:t>Preberajúci</w:t>
      </w:r>
      <w:r w:rsidRPr="005A3090">
        <w:rPr>
          <w:rFonts w:ascii="Times New Roman" w:hAnsi="Times New Roman"/>
          <w:i/>
        </w:rPr>
        <w:t>“)</w:t>
      </w:r>
    </w:p>
    <w:p w14:paraId="59CF7917" w14:textId="77777777" w:rsidR="00711D4F" w:rsidRDefault="00711D4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000001E" w14:textId="6F52E2B0" w:rsidR="00A24267" w:rsidRDefault="00AD2E2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(spolu ďalej len „zmluvné strany“)</w:t>
      </w:r>
    </w:p>
    <w:p w14:paraId="0000001F" w14:textId="77777777" w:rsidR="00A24267" w:rsidRDefault="00A2426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0" w14:textId="77777777" w:rsidR="00A24267" w:rsidRDefault="00AD2E2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nasledujúcom znení:</w:t>
      </w:r>
    </w:p>
    <w:p w14:paraId="00000021" w14:textId="77777777" w:rsidR="00A24267" w:rsidRDefault="00A24267">
      <w:pPr>
        <w:tabs>
          <w:tab w:val="left" w:pos="284"/>
          <w:tab w:val="left" w:pos="3544"/>
          <w:tab w:val="left" w:pos="382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0000022" w14:textId="58EF924E" w:rsidR="00A24267" w:rsidRDefault="00AD2E20">
      <w:pPr>
        <w:numPr>
          <w:ilvl w:val="0"/>
          <w:numId w:val="2"/>
        </w:numPr>
        <w:tabs>
          <w:tab w:val="left" w:pos="-660"/>
          <w:tab w:val="left" w:pos="-440"/>
        </w:tabs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Odovzdávajúci uzatvoril s Preberajúcim dňa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="00711D4F" w:rsidRPr="00711D4F">
        <w:rPr>
          <w:rFonts w:ascii="Times New Roman" w:eastAsia="Times New Roman" w:hAnsi="Times New Roman" w:cs="Times New Roman"/>
          <w:b/>
          <w:bCs/>
        </w:rPr>
        <w:t>.202</w:t>
      </w:r>
      <w:r w:rsidR="00313BCE">
        <w:rPr>
          <w:rFonts w:ascii="Times New Roman" w:eastAsia="Times New Roman" w:hAnsi="Times New Roman" w:cs="Times New Roman"/>
          <w:b/>
          <w:bCs/>
        </w:rPr>
        <w:t>1</w:t>
      </w:r>
      <w:r w:rsidR="00711D4F">
        <w:rPr>
          <w:rFonts w:ascii="Times New Roman" w:eastAsia="Times New Roman" w:hAnsi="Times New Roman" w:cs="Times New Roman"/>
        </w:rPr>
        <w:t xml:space="preserve"> Nájomnú</w:t>
      </w:r>
      <w:r>
        <w:rPr>
          <w:rFonts w:ascii="Times New Roman" w:eastAsia="Times New Roman" w:hAnsi="Times New Roman" w:cs="Times New Roman"/>
        </w:rPr>
        <w:t xml:space="preserve"> zmluvu.</w:t>
      </w:r>
    </w:p>
    <w:p w14:paraId="00000023" w14:textId="77777777" w:rsidR="00A24267" w:rsidRDefault="00A24267">
      <w:pPr>
        <w:tabs>
          <w:tab w:val="left" w:pos="-660"/>
          <w:tab w:val="left" w:pos="3544"/>
          <w:tab w:val="left" w:pos="3828"/>
        </w:tabs>
        <w:spacing w:after="0" w:line="240" w:lineRule="auto"/>
        <w:ind w:hanging="550"/>
        <w:jc w:val="both"/>
        <w:rPr>
          <w:rFonts w:ascii="Times New Roman" w:eastAsia="Times New Roman" w:hAnsi="Times New Roman" w:cs="Times New Roman"/>
        </w:rPr>
      </w:pPr>
    </w:p>
    <w:p w14:paraId="00000024" w14:textId="544167BF" w:rsidR="00A24267" w:rsidRDefault="00AD2E20">
      <w:pPr>
        <w:numPr>
          <w:ilvl w:val="0"/>
          <w:numId w:val="2"/>
        </w:numPr>
        <w:tabs>
          <w:tab w:val="left" w:pos="-660"/>
        </w:tabs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Odovzdávajúci odovzdáva Preberajúcemu nasledujúcu </w:t>
      </w:r>
      <w:sdt>
        <w:sdtPr>
          <w:tag w:val="goog_rdk_1"/>
          <w:id w:val="1541929877"/>
        </w:sdtPr>
        <w:sdtEndPr/>
        <w:sdtContent/>
      </w:sdt>
      <w:r w:rsidR="00711D4F">
        <w:rPr>
          <w:rFonts w:ascii="Times New Roman" w:eastAsia="Times New Roman" w:hAnsi="Times New Roman" w:cs="Times New Roman"/>
        </w:rPr>
        <w:t xml:space="preserve">nehnuteľnosť evidovanú okresným úradom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="00711D4F">
        <w:rPr>
          <w:rFonts w:ascii="Times New Roman" w:eastAsia="Times New Roman" w:hAnsi="Times New Roman" w:cs="Times New Roman"/>
        </w:rPr>
        <w:t xml:space="preserve">, katastrálny odbor na liste vlastníctva č.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="00711D4F" w:rsidRPr="00711D4F">
        <w:rPr>
          <w:rFonts w:ascii="Times New Roman" w:eastAsia="Times New Roman" w:hAnsi="Times New Roman" w:cs="Times New Roman"/>
        </w:rPr>
        <w:t xml:space="preserve">, katastrálne územie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="00711D4F">
        <w:rPr>
          <w:rFonts w:ascii="Times New Roman" w:eastAsia="Times New Roman" w:hAnsi="Times New Roman" w:cs="Times New Roman"/>
          <w:b/>
          <w:bCs/>
        </w:rPr>
        <w:t xml:space="preserve">, </w:t>
      </w:r>
      <w:r w:rsidR="00711D4F">
        <w:rPr>
          <w:rFonts w:ascii="Times New Roman" w:eastAsia="Times New Roman" w:hAnsi="Times New Roman" w:cs="Times New Roman"/>
        </w:rPr>
        <w:t>ako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000025" w14:textId="77777777" w:rsidR="00A24267" w:rsidRDefault="00A24267">
      <w:pPr>
        <w:tabs>
          <w:tab w:val="left" w:pos="-6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8F48CC" w14:textId="00EF2163" w:rsidR="00711D4F" w:rsidRPr="005A3090" w:rsidRDefault="00711D4F" w:rsidP="00711D4F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lang w:eastAsia="sk-SK"/>
        </w:rPr>
      </w:pPr>
      <w:r w:rsidRPr="005A3090">
        <w:rPr>
          <w:rFonts w:ascii="Times New Roman" w:eastAsia="Times New Roman" w:hAnsi="Times New Roman"/>
          <w:b/>
          <w:lang w:eastAsia="sk-SK"/>
        </w:rPr>
        <w:t>BYT</w:t>
      </w:r>
      <w:r w:rsidRPr="005A3090">
        <w:rPr>
          <w:rFonts w:ascii="Times New Roman" w:eastAsia="Times New Roman" w:hAnsi="Times New Roman"/>
          <w:lang w:eastAsia="sk-SK"/>
        </w:rPr>
        <w:t xml:space="preserve"> číslo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="00313BCE">
        <w:rPr>
          <w:rFonts w:ascii="Times New Roman" w:eastAsia="Times New Roman" w:hAnsi="Times New Roman"/>
          <w:lang w:eastAsia="sk-SK"/>
        </w:rPr>
        <w:t xml:space="preserve"> </w:t>
      </w:r>
      <w:r w:rsidRPr="005A3090">
        <w:rPr>
          <w:rFonts w:ascii="Times New Roman" w:eastAsia="Times New Roman" w:hAnsi="Times New Roman"/>
          <w:lang w:eastAsia="sk-SK"/>
        </w:rPr>
        <w:t xml:space="preserve">nachádzajúci sa na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5A3090">
        <w:rPr>
          <w:rFonts w:ascii="Times New Roman" w:eastAsia="Times New Roman" w:hAnsi="Times New Roman"/>
          <w:b/>
          <w:lang w:eastAsia="sk-SK"/>
        </w:rPr>
        <w:t xml:space="preserve"> </w:t>
      </w:r>
      <w:r w:rsidRPr="005A3090">
        <w:rPr>
          <w:rFonts w:ascii="Times New Roman" w:eastAsia="Times New Roman" w:hAnsi="Times New Roman"/>
          <w:lang w:eastAsia="sk-SK"/>
        </w:rPr>
        <w:t xml:space="preserve">bytového domu so súpisným číslom </w:t>
      </w:r>
      <w:r w:rsidRPr="005A3090">
        <w:rPr>
          <w:rFonts w:ascii="Times New Roman" w:eastAsia="Times New Roman" w:hAnsi="Times New Roman"/>
          <w:b/>
          <w:lang w:eastAsia="sk-SK"/>
        </w:rPr>
        <w:t>1570,</w:t>
      </w:r>
      <w:r w:rsidRPr="005A3090">
        <w:rPr>
          <w:rFonts w:ascii="Times New Roman" w:eastAsia="Times New Roman" w:hAnsi="Times New Roman"/>
          <w:lang w:eastAsia="sk-SK"/>
        </w:rPr>
        <w:t xml:space="preserve"> vchod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5A3090">
        <w:rPr>
          <w:rFonts w:ascii="Times New Roman" w:eastAsia="Times New Roman" w:hAnsi="Times New Roman"/>
          <w:lang w:eastAsia="sk-SK"/>
        </w:rPr>
        <w:t>, v</w:t>
      </w:r>
      <w:r w:rsidR="00313BCE">
        <w:rPr>
          <w:rFonts w:ascii="Times New Roman" w:eastAsia="Times New Roman" w:hAnsi="Times New Roman"/>
          <w:lang w:eastAsia="sk-SK"/>
        </w:rPr>
        <w:t xml:space="preserve"> obci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5A3090">
        <w:rPr>
          <w:rFonts w:ascii="Times New Roman" w:eastAsia="Times New Roman" w:hAnsi="Times New Roman"/>
          <w:lang w:eastAsia="sk-SK"/>
        </w:rPr>
        <w:t xml:space="preserve"> </w:t>
      </w:r>
      <w:r w:rsidRPr="005A3090">
        <w:rPr>
          <w:rFonts w:ascii="Times New Roman" w:eastAsia="Times New Roman" w:hAnsi="Times New Roman"/>
          <w:i/>
          <w:lang w:eastAsia="sk-SK"/>
        </w:rPr>
        <w:t xml:space="preserve">(ďalej len </w:t>
      </w:r>
      <w:r w:rsidRPr="005A3090">
        <w:rPr>
          <w:rFonts w:ascii="Times New Roman" w:eastAsia="Times New Roman" w:hAnsi="Times New Roman"/>
          <w:lang w:eastAsia="sk-SK"/>
        </w:rPr>
        <w:t>„</w:t>
      </w:r>
      <w:r w:rsidRPr="005A3090">
        <w:rPr>
          <w:rFonts w:ascii="Times New Roman" w:eastAsia="Times New Roman" w:hAnsi="Times New Roman"/>
          <w:b/>
          <w:i/>
          <w:lang w:eastAsia="sk-SK"/>
        </w:rPr>
        <w:t>byt</w:t>
      </w:r>
      <w:r w:rsidRPr="005A3090">
        <w:rPr>
          <w:rFonts w:ascii="Times New Roman" w:eastAsia="Times New Roman" w:hAnsi="Times New Roman"/>
          <w:i/>
          <w:lang w:eastAsia="sk-SK"/>
        </w:rPr>
        <w:t>“)</w:t>
      </w:r>
      <w:r w:rsidRPr="005A3090">
        <w:rPr>
          <w:rFonts w:ascii="Times New Roman" w:eastAsia="Times New Roman" w:hAnsi="Times New Roman"/>
          <w:lang w:eastAsia="sk-SK"/>
        </w:rPr>
        <w:t xml:space="preserve">, postavenom na pozemkoch parcely registra „C“ parcelné číslo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5A3090">
        <w:rPr>
          <w:rFonts w:ascii="Times New Roman" w:eastAsia="Times New Roman" w:hAnsi="Times New Roman"/>
          <w:b/>
          <w:lang w:eastAsia="sk-SK"/>
        </w:rPr>
        <w:t xml:space="preserve"> </w:t>
      </w:r>
      <w:r w:rsidRPr="005A3090">
        <w:rPr>
          <w:rFonts w:ascii="Times New Roman" w:eastAsia="Times New Roman" w:hAnsi="Times New Roman"/>
          <w:i/>
          <w:lang w:eastAsia="sk-SK"/>
        </w:rPr>
        <w:t>(ďalej aj „</w:t>
      </w:r>
      <w:r w:rsidRPr="005A3090">
        <w:rPr>
          <w:rFonts w:ascii="Times New Roman" w:eastAsia="Times New Roman" w:hAnsi="Times New Roman"/>
          <w:b/>
          <w:i/>
          <w:lang w:eastAsia="sk-SK"/>
        </w:rPr>
        <w:t>bytový dom</w:t>
      </w:r>
      <w:r w:rsidRPr="005A3090">
        <w:rPr>
          <w:rFonts w:ascii="Times New Roman" w:eastAsia="Times New Roman" w:hAnsi="Times New Roman"/>
          <w:i/>
          <w:lang w:eastAsia="sk-SK"/>
        </w:rPr>
        <w:t>“)</w:t>
      </w:r>
      <w:r w:rsidRPr="005A3090">
        <w:rPr>
          <w:rFonts w:ascii="Times New Roman" w:eastAsia="Times New Roman" w:hAnsi="Times New Roman"/>
          <w:lang w:eastAsia="sk-SK"/>
        </w:rPr>
        <w:t xml:space="preserve">, spoluvlastnícky podiel </w:t>
      </w:r>
      <w:r w:rsidRPr="005A3090">
        <w:rPr>
          <w:rFonts w:ascii="Times New Roman" w:eastAsia="Times New Roman" w:hAnsi="Times New Roman"/>
          <w:b/>
          <w:lang w:eastAsia="sk-SK"/>
        </w:rPr>
        <w:t xml:space="preserve">1 / 1, </w:t>
      </w:r>
      <w:r w:rsidRPr="005A3090">
        <w:rPr>
          <w:rFonts w:ascii="Times New Roman" w:eastAsia="Times New Roman" w:hAnsi="Times New Roman"/>
          <w:lang w:eastAsia="sk-SK"/>
        </w:rPr>
        <w:t>a k nemu:</w:t>
      </w:r>
    </w:p>
    <w:p w14:paraId="50E89632" w14:textId="6E92C5BE" w:rsidR="00711D4F" w:rsidRPr="005A3090" w:rsidRDefault="00711D4F" w:rsidP="00711D4F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/>
          <w:lang w:eastAsia="sk-SK"/>
        </w:rPr>
      </w:pPr>
      <w:r w:rsidRPr="005A3090">
        <w:rPr>
          <w:rFonts w:ascii="Times New Roman" w:eastAsia="Times New Roman" w:hAnsi="Times New Roman"/>
          <w:lang w:eastAsia="sk-SK"/>
        </w:rPr>
        <w:t xml:space="preserve">podiel priestoru na spoločných častiach, spoločných zariadeniach a príslušenstve bytového domu prislúchajúci k bytu vo veľkosti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5A3090">
        <w:rPr>
          <w:rFonts w:ascii="Times New Roman" w:eastAsia="Times New Roman" w:hAnsi="Times New Roman"/>
          <w:lang w:eastAsia="sk-SK"/>
        </w:rPr>
        <w:t>;</w:t>
      </w:r>
    </w:p>
    <w:p w14:paraId="05D6DF13" w14:textId="45660BE0" w:rsidR="00711D4F" w:rsidRPr="005A3090" w:rsidRDefault="00711D4F" w:rsidP="00711D4F">
      <w:pPr>
        <w:widowControl w:val="0"/>
        <w:numPr>
          <w:ilvl w:val="2"/>
          <w:numId w:val="4"/>
        </w:numPr>
        <w:tabs>
          <w:tab w:val="left" w:pos="-180"/>
          <w:tab w:val="num" w:pos="-142"/>
          <w:tab w:val="num" w:pos="0"/>
        </w:tabs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/>
          <w:lang w:eastAsia="sk-SK"/>
        </w:rPr>
      </w:pPr>
      <w:r w:rsidRPr="005A3090">
        <w:rPr>
          <w:rFonts w:ascii="Times New Roman" w:eastAsia="Times New Roman" w:hAnsi="Times New Roman"/>
          <w:lang w:eastAsia="sk-SK"/>
        </w:rPr>
        <w:t xml:space="preserve">spoluvlastnícky podiel k pozemkom, na ktorom sa nachádza bytový dom, prislúchajúci k bytu vo veľkosti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5A3090">
        <w:rPr>
          <w:rFonts w:ascii="Times New Roman" w:hAnsi="Times New Roman"/>
          <w:bCs/>
          <w:lang w:eastAsia="sk-SK"/>
        </w:rPr>
        <w:t>:</w:t>
      </w:r>
    </w:p>
    <w:p w14:paraId="00000027" w14:textId="1E5A19AA" w:rsidR="00A24267" w:rsidRPr="00313BCE" w:rsidRDefault="00711D4F" w:rsidP="00313BC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ind w:left="567" w:hanging="283"/>
        <w:contextualSpacing/>
        <w:jc w:val="both"/>
        <w:textAlignment w:val="baseline"/>
        <w:rPr>
          <w:rFonts w:ascii="Times New Roman" w:eastAsia="Times New Roman" w:hAnsi="Times New Roman"/>
          <w:lang w:eastAsia="sk-SK"/>
        </w:rPr>
      </w:pPr>
      <w:r w:rsidRPr="005A3090">
        <w:rPr>
          <w:rFonts w:ascii="Times New Roman" w:eastAsia="Times New Roman" w:hAnsi="Times New Roman"/>
          <w:lang w:eastAsia="sk-SK"/>
        </w:rPr>
        <w:t xml:space="preserve">pozemok parcely registra „C“ parc. č.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5A3090">
        <w:rPr>
          <w:rFonts w:ascii="Times New Roman" w:eastAsia="Times New Roman" w:hAnsi="Times New Roman"/>
          <w:lang w:eastAsia="sk-SK"/>
        </w:rPr>
        <w:t xml:space="preserve">, druh pozemku: zastavaná plocha a nádvorie, o výmere </w:t>
      </w:r>
      <w:r w:rsidR="00313BCE" w:rsidRPr="00313BCE">
        <w:rPr>
          <w:rFonts w:ascii="Times New Roman" w:eastAsia="Times New Roman" w:hAnsi="Times New Roman" w:cs="Times New Roman"/>
          <w:b/>
          <w:bCs/>
          <w:highlight w:val="yellow"/>
        </w:rPr>
        <w:t>...</w:t>
      </w:r>
      <w:r w:rsidRPr="00313BCE">
        <w:rPr>
          <w:rFonts w:ascii="Times New Roman" w:eastAsia="Times New Roman" w:hAnsi="Times New Roman"/>
          <w:b/>
          <w:bCs/>
          <w:lang w:eastAsia="sk-SK"/>
        </w:rPr>
        <w:t>m</w:t>
      </w:r>
      <w:r w:rsidRPr="00313BCE">
        <w:rPr>
          <w:rFonts w:ascii="Times New Roman" w:eastAsia="Times New Roman" w:hAnsi="Times New Roman"/>
          <w:b/>
          <w:bCs/>
          <w:vertAlign w:val="superscript"/>
          <w:lang w:eastAsia="sk-SK"/>
        </w:rPr>
        <w:t>2</w:t>
      </w:r>
    </w:p>
    <w:p w14:paraId="00000028" w14:textId="77777777" w:rsidR="00A24267" w:rsidRDefault="00AD2E20">
      <w:pPr>
        <w:tabs>
          <w:tab w:val="left" w:pos="3261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(spolu ďalej len „Nehnuteľnosť“)</w:t>
      </w:r>
    </w:p>
    <w:p w14:paraId="00000029" w14:textId="77777777" w:rsidR="00A24267" w:rsidRDefault="00A242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A" w14:textId="77777777" w:rsidR="00A24267" w:rsidRDefault="00AD2E20">
      <w:pPr>
        <w:numPr>
          <w:ilvl w:val="0"/>
          <w:numId w:val="2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Preberajúci podpisom tohto Protokolu potvrdzuje, že prebral od Odovzdávajúceho Nehnuteľnosť špecifikovanú v bode 2. Protokolu spolu s jej príslušenstvom a oboznámil sa s jej technickým stavom. </w:t>
      </w:r>
    </w:p>
    <w:p w14:paraId="0000002B" w14:textId="77777777" w:rsidR="00A24267" w:rsidRDefault="00A24267">
      <w:pPr>
        <w:spacing w:after="0" w:line="240" w:lineRule="auto"/>
        <w:ind w:hanging="550"/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A24267" w:rsidRDefault="00AD2E20">
      <w:pPr>
        <w:numPr>
          <w:ilvl w:val="0"/>
          <w:numId w:val="2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Nehnuteľnosť je v čase odovzdania fyzicky opustená Odovzdávajúcim, resp. inými osobami, ktoré mali právo túto Nehnuteľnosť užívať.</w:t>
      </w:r>
    </w:p>
    <w:p w14:paraId="0000002D" w14:textId="77777777" w:rsidR="00A24267" w:rsidRDefault="00A242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A24267" w:rsidRDefault="00AD2E20">
      <w:pPr>
        <w:numPr>
          <w:ilvl w:val="0"/>
          <w:numId w:val="2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Odovzdávajúci odovzdal Preberajúcemu:</w:t>
      </w:r>
    </w:p>
    <w:tbl>
      <w:tblPr>
        <w:tblStyle w:val="a"/>
        <w:tblW w:w="93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6"/>
        <w:gridCol w:w="2090"/>
      </w:tblGrid>
      <w:tr w:rsidR="00A24267" w14:paraId="0945AC23" w14:textId="77777777">
        <w:tc>
          <w:tcPr>
            <w:tcW w:w="7216" w:type="dxa"/>
          </w:tcPr>
          <w:p w14:paraId="0000002F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Druh kľúča / čipu</w:t>
            </w:r>
          </w:p>
        </w:tc>
        <w:tc>
          <w:tcPr>
            <w:tcW w:w="2090" w:type="dxa"/>
          </w:tcPr>
          <w:p w14:paraId="00000030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Počet kusov</w:t>
            </w:r>
          </w:p>
        </w:tc>
      </w:tr>
      <w:tr w:rsidR="00A24267" w14:paraId="50E97A41" w14:textId="77777777">
        <w:tc>
          <w:tcPr>
            <w:tcW w:w="7216" w:type="dxa"/>
          </w:tcPr>
          <w:p w14:paraId="00000031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kľúč od vstupných dverí do Nehnuteľnosti</w:t>
            </w:r>
          </w:p>
        </w:tc>
        <w:tc>
          <w:tcPr>
            <w:tcW w:w="2090" w:type="dxa"/>
          </w:tcPr>
          <w:p w14:paraId="00000032" w14:textId="7848D2C8" w:rsidR="00A24267" w:rsidRDefault="00711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D2E20">
              <w:rPr>
                <w:rFonts w:ascii="Times New Roman" w:eastAsia="Times New Roman" w:hAnsi="Times New Roman" w:cs="Times New Roman"/>
                <w:color w:val="000000"/>
              </w:rPr>
              <w:t>ks</w:t>
            </w:r>
          </w:p>
        </w:tc>
      </w:tr>
      <w:tr w:rsidR="00A24267" w14:paraId="2803EAA7" w14:textId="77777777">
        <w:trPr>
          <w:trHeight w:val="280"/>
        </w:trPr>
        <w:tc>
          <w:tcPr>
            <w:tcW w:w="7216" w:type="dxa"/>
            <w:vAlign w:val="center"/>
          </w:tcPr>
          <w:p w14:paraId="00000033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kľúč od pivnice prináležiacej k Nehnuteľnosti</w:t>
            </w:r>
          </w:p>
        </w:tc>
        <w:tc>
          <w:tcPr>
            <w:tcW w:w="2090" w:type="dxa"/>
            <w:vAlign w:val="center"/>
          </w:tcPr>
          <w:p w14:paraId="00000034" w14:textId="2FA778D5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6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ks</w:t>
            </w:r>
          </w:p>
        </w:tc>
      </w:tr>
      <w:tr w:rsidR="00A24267" w14:paraId="394DD6BE" w14:textId="77777777">
        <w:trPr>
          <w:trHeight w:val="280"/>
        </w:trPr>
        <w:tc>
          <w:tcPr>
            <w:tcW w:w="7216" w:type="dxa"/>
            <w:vAlign w:val="center"/>
          </w:tcPr>
          <w:p w14:paraId="00000035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kľúč / čip od prístupových dverí/brány/vchodu </w:t>
            </w:r>
          </w:p>
        </w:tc>
        <w:tc>
          <w:tcPr>
            <w:tcW w:w="2090" w:type="dxa"/>
            <w:vAlign w:val="center"/>
          </w:tcPr>
          <w:p w14:paraId="00000036" w14:textId="46D34E02" w:rsidR="00A24267" w:rsidRDefault="00711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D2E20">
              <w:rPr>
                <w:rFonts w:ascii="Times New Roman" w:eastAsia="Times New Roman" w:hAnsi="Times New Roman" w:cs="Times New Roman"/>
                <w:color w:val="000000"/>
              </w:rPr>
              <w:t>ks</w:t>
            </w:r>
          </w:p>
        </w:tc>
      </w:tr>
      <w:tr w:rsidR="00A24267" w14:paraId="7A341B33" w14:textId="77777777">
        <w:trPr>
          <w:trHeight w:val="280"/>
        </w:trPr>
        <w:tc>
          <w:tcPr>
            <w:tcW w:w="7216" w:type="dxa"/>
            <w:vAlign w:val="center"/>
          </w:tcPr>
          <w:p w14:paraId="00000037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kľúč od poštovej schránky</w:t>
            </w:r>
          </w:p>
        </w:tc>
        <w:tc>
          <w:tcPr>
            <w:tcW w:w="2090" w:type="dxa"/>
            <w:vAlign w:val="center"/>
          </w:tcPr>
          <w:p w14:paraId="00000038" w14:textId="33647945" w:rsidR="00A24267" w:rsidRDefault="00711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D2E20">
              <w:rPr>
                <w:rFonts w:ascii="Times New Roman" w:eastAsia="Times New Roman" w:hAnsi="Times New Roman" w:cs="Times New Roman"/>
                <w:color w:val="000000"/>
              </w:rPr>
              <w:t>ks</w:t>
            </w:r>
          </w:p>
        </w:tc>
      </w:tr>
      <w:tr w:rsidR="00A24267" w14:paraId="2C73170C" w14:textId="77777777">
        <w:trPr>
          <w:trHeight w:val="280"/>
        </w:trPr>
        <w:tc>
          <w:tcPr>
            <w:tcW w:w="7216" w:type="dxa"/>
            <w:vAlign w:val="center"/>
          </w:tcPr>
          <w:p w14:paraId="0000003F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Iný klúč</w:t>
            </w:r>
          </w:p>
        </w:tc>
        <w:tc>
          <w:tcPr>
            <w:tcW w:w="2090" w:type="dxa"/>
            <w:vAlign w:val="center"/>
          </w:tcPr>
          <w:p w14:paraId="00000040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ks</w:t>
            </w:r>
          </w:p>
        </w:tc>
      </w:tr>
    </w:tbl>
    <w:p w14:paraId="00000041" w14:textId="77777777" w:rsidR="00A24267" w:rsidRDefault="00AD2E20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 všetky dokumenty a informácie potrebné k riadnemu užívaniu Nehnuteľnosti.</w:t>
      </w:r>
    </w:p>
    <w:p w14:paraId="00000042" w14:textId="77777777" w:rsidR="00A24267" w:rsidRDefault="00A242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0000043" w14:textId="77777777" w:rsidR="00A24267" w:rsidRDefault="00AD2E20">
      <w:pPr>
        <w:numPr>
          <w:ilvl w:val="0"/>
          <w:numId w:val="1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okamihu podpisu tohto Protokolu je stav meracích zariadení prislúchajúcich k Nehnuteľnosti nasledujúci:</w:t>
      </w:r>
    </w:p>
    <w:tbl>
      <w:tblPr>
        <w:tblStyle w:val="a0"/>
        <w:tblW w:w="93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0"/>
        <w:gridCol w:w="3340"/>
        <w:gridCol w:w="2226"/>
      </w:tblGrid>
      <w:tr w:rsidR="00A24267" w14:paraId="5647EEC4" w14:textId="77777777">
        <w:tc>
          <w:tcPr>
            <w:tcW w:w="3740" w:type="dxa"/>
          </w:tcPr>
          <w:p w14:paraId="00000044" w14:textId="77777777" w:rsidR="00A24267" w:rsidRDefault="00AD2E20" w:rsidP="00AD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Meracie zariadenia</w:t>
            </w:r>
          </w:p>
        </w:tc>
        <w:tc>
          <w:tcPr>
            <w:tcW w:w="3340" w:type="dxa"/>
          </w:tcPr>
          <w:p w14:paraId="00000045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Číslo meracieho zariadenia</w:t>
            </w:r>
          </w:p>
        </w:tc>
        <w:tc>
          <w:tcPr>
            <w:tcW w:w="2226" w:type="dxa"/>
          </w:tcPr>
          <w:p w14:paraId="00000046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Stav</w:t>
            </w:r>
          </w:p>
        </w:tc>
      </w:tr>
      <w:tr w:rsidR="00A24267" w14:paraId="209FB304" w14:textId="77777777">
        <w:trPr>
          <w:trHeight w:val="280"/>
        </w:trPr>
        <w:tc>
          <w:tcPr>
            <w:tcW w:w="3740" w:type="dxa"/>
            <w:vAlign w:val="center"/>
          </w:tcPr>
          <w:p w14:paraId="00000047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Vodomer – studená pitná voda (SV)</w:t>
            </w:r>
          </w:p>
        </w:tc>
        <w:tc>
          <w:tcPr>
            <w:tcW w:w="3340" w:type="dxa"/>
            <w:vAlign w:val="center"/>
          </w:tcPr>
          <w:p w14:paraId="00000048" w14:textId="77777777" w:rsidR="00A24267" w:rsidRDefault="00A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00000049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6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</w:tr>
      <w:tr w:rsidR="00A24267" w14:paraId="29A363D1" w14:textId="77777777">
        <w:trPr>
          <w:trHeight w:val="280"/>
        </w:trPr>
        <w:tc>
          <w:tcPr>
            <w:tcW w:w="3740" w:type="dxa"/>
            <w:vAlign w:val="center"/>
          </w:tcPr>
          <w:p w14:paraId="0000004A" w14:textId="606858D4" w:rsidR="00A24267" w:rsidRDefault="00AD2E20" w:rsidP="00AD1D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96" w:hanging="5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Vodomer – teplá úžitková voda</w:t>
            </w:r>
            <w:r w:rsidR="00AD1D5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(TÚV)</w:t>
            </w:r>
          </w:p>
        </w:tc>
        <w:tc>
          <w:tcPr>
            <w:tcW w:w="3340" w:type="dxa"/>
            <w:vAlign w:val="center"/>
          </w:tcPr>
          <w:p w14:paraId="0000004B" w14:textId="77777777" w:rsidR="00A24267" w:rsidRDefault="00A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0000004C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m³</w:t>
            </w:r>
          </w:p>
        </w:tc>
      </w:tr>
      <w:tr w:rsidR="00A24267" w14:paraId="7C3907B6" w14:textId="77777777">
        <w:trPr>
          <w:trHeight w:val="280"/>
        </w:trPr>
        <w:tc>
          <w:tcPr>
            <w:tcW w:w="3740" w:type="dxa"/>
            <w:vAlign w:val="center"/>
          </w:tcPr>
          <w:p w14:paraId="0000004D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Elektromer</w:t>
            </w:r>
          </w:p>
        </w:tc>
        <w:tc>
          <w:tcPr>
            <w:tcW w:w="3340" w:type="dxa"/>
            <w:vAlign w:val="center"/>
          </w:tcPr>
          <w:p w14:paraId="0000004E" w14:textId="77777777" w:rsidR="00A24267" w:rsidRDefault="00A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0000004F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kWh</w:t>
            </w:r>
          </w:p>
        </w:tc>
      </w:tr>
      <w:tr w:rsidR="00A24267" w14:paraId="504C3A4F" w14:textId="77777777">
        <w:trPr>
          <w:trHeight w:val="280"/>
        </w:trPr>
        <w:tc>
          <w:tcPr>
            <w:tcW w:w="3740" w:type="dxa"/>
            <w:vAlign w:val="center"/>
          </w:tcPr>
          <w:p w14:paraId="00000053" w14:textId="77777777" w:rsidR="00A24267" w:rsidRDefault="00AD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Iné</w:t>
            </w:r>
          </w:p>
        </w:tc>
        <w:tc>
          <w:tcPr>
            <w:tcW w:w="3340" w:type="dxa"/>
            <w:vAlign w:val="center"/>
          </w:tcPr>
          <w:p w14:paraId="00000054" w14:textId="77777777" w:rsidR="00A24267" w:rsidRDefault="00A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26" w:type="dxa"/>
            <w:vAlign w:val="center"/>
          </w:tcPr>
          <w:p w14:paraId="00000055" w14:textId="77777777" w:rsidR="00A24267" w:rsidRDefault="00A2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2365" w:hanging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AB5AE75" w14:textId="4754D2D6" w:rsidR="008B5C4B" w:rsidRPr="00711D4F" w:rsidRDefault="008B5C4B" w:rsidP="00711D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hanging="720"/>
        <w:rPr>
          <w:rFonts w:ascii="Times New Roman" w:eastAsia="Times New Roman" w:hAnsi="Times New Roman" w:cs="Times New Roman"/>
          <w:color w:val="000000"/>
        </w:rPr>
      </w:pPr>
    </w:p>
    <w:p w14:paraId="00000057" w14:textId="61131405" w:rsidR="00A24267" w:rsidRDefault="00AD2E20">
      <w:pPr>
        <w:numPr>
          <w:ilvl w:val="0"/>
          <w:numId w:val="1"/>
        </w:numPr>
        <w:spacing w:after="0" w:line="360" w:lineRule="auto"/>
        <w:ind w:left="0" w:hanging="550"/>
        <w:rPr>
          <w:rFonts w:ascii="Times New Roman" w:eastAsia="Times New Roman" w:hAnsi="Times New Roman" w:cs="Times New Roman"/>
        </w:rPr>
      </w:pPr>
      <w:commentRangeStart w:id="1"/>
      <w:r>
        <w:rPr>
          <w:rFonts w:ascii="Times New Roman" w:eastAsia="Times New Roman" w:hAnsi="Times New Roman" w:cs="Times New Roman"/>
        </w:rPr>
        <w:t>Vady a nedorobky, zistené Preberajúcim, sú nasledujúce:</w:t>
      </w:r>
      <w:commentRangeEnd w:id="1"/>
      <w:r>
        <w:commentReference w:id="1"/>
      </w:r>
    </w:p>
    <w:p w14:paraId="00000058" w14:textId="77777777" w:rsidR="00A24267" w:rsidRDefault="00AD2E2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000059" w14:textId="77777777" w:rsidR="00A24267" w:rsidRDefault="00A24267">
      <w:pPr>
        <w:tabs>
          <w:tab w:val="left" w:pos="0"/>
        </w:tabs>
        <w:spacing w:after="0" w:line="240" w:lineRule="auto"/>
        <w:ind w:hanging="550"/>
        <w:rPr>
          <w:rFonts w:ascii="Times New Roman" w:eastAsia="Times New Roman" w:hAnsi="Times New Roman" w:cs="Times New Roman"/>
          <w:b/>
        </w:rPr>
      </w:pPr>
    </w:p>
    <w:p w14:paraId="0000005A" w14:textId="77777777" w:rsidR="00A24267" w:rsidRDefault="00AD2E20">
      <w:pPr>
        <w:numPr>
          <w:ilvl w:val="0"/>
          <w:numId w:val="1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Tento Protokol nadobúda platnosť a účinnosť dňom jeho podpisu oboma zmluvnými stranami.</w:t>
      </w:r>
    </w:p>
    <w:p w14:paraId="0000005B" w14:textId="77777777" w:rsidR="00A24267" w:rsidRDefault="00A24267">
      <w:pPr>
        <w:spacing w:after="0" w:line="240" w:lineRule="auto"/>
        <w:ind w:hanging="550"/>
        <w:jc w:val="both"/>
        <w:rPr>
          <w:rFonts w:ascii="Times New Roman" w:eastAsia="Times New Roman" w:hAnsi="Times New Roman" w:cs="Times New Roman"/>
        </w:rPr>
      </w:pPr>
    </w:p>
    <w:p w14:paraId="0000005C" w14:textId="77777777" w:rsidR="00A24267" w:rsidRDefault="00AD2E20">
      <w:pPr>
        <w:numPr>
          <w:ilvl w:val="0"/>
          <w:numId w:val="1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Zmluvné strany sa dohodli, že akékoľvek právne vzťahy týkajúce sa zodpovednosti za vady na Nehnuteľnosti a na prípadných spoločných priestoroch a zariadeniach, a právne vzťahy týkajúce sa prípadnej zodpovednosti za škodu, ktorá z vady vznikla, sa spravujú príslušnými ustanoveniami Občianskeho zákonníka v platnom znení a ustanoveniami ďalších právnych predpisov SR, ktoré sa na tieto právne vzťahy vzťahujú.</w:t>
      </w:r>
    </w:p>
    <w:p w14:paraId="0000005D" w14:textId="77777777" w:rsidR="00A24267" w:rsidRDefault="00A24267">
      <w:pPr>
        <w:spacing w:after="0" w:line="240" w:lineRule="auto"/>
        <w:ind w:hanging="550"/>
        <w:jc w:val="both"/>
        <w:rPr>
          <w:rFonts w:ascii="Times New Roman" w:eastAsia="Times New Roman" w:hAnsi="Times New Roman" w:cs="Times New Roman"/>
        </w:rPr>
      </w:pPr>
    </w:p>
    <w:p w14:paraId="0000005E" w14:textId="3FF1AFF3" w:rsidR="00A24267" w:rsidRDefault="00AD2E20">
      <w:pPr>
        <w:numPr>
          <w:ilvl w:val="0"/>
          <w:numId w:val="1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Protokol je vyhotovený v </w:t>
      </w:r>
      <w:r w:rsidR="00641952" w:rsidRPr="00711D4F">
        <w:rPr>
          <w:rFonts w:ascii="Times New Roman" w:eastAsia="Times New Roman" w:hAnsi="Times New Roman" w:cs="Times New Roman"/>
          <w:highlight w:val="yellow"/>
        </w:rPr>
        <w:t>troch</w:t>
      </w:r>
      <w:r>
        <w:rPr>
          <w:rFonts w:ascii="Times New Roman" w:eastAsia="Times New Roman" w:hAnsi="Times New Roman" w:cs="Times New Roman"/>
        </w:rPr>
        <w:t xml:space="preserve"> (</w:t>
      </w:r>
      <w:r w:rsidR="00641952" w:rsidRPr="00711D4F">
        <w:rPr>
          <w:rFonts w:ascii="Times New Roman" w:eastAsia="Times New Roman" w:hAnsi="Times New Roman" w:cs="Times New Roman"/>
          <w:highlight w:val="yellow"/>
        </w:rPr>
        <w:t>3</w:t>
      </w:r>
      <w:r>
        <w:rPr>
          <w:rFonts w:ascii="Times New Roman" w:eastAsia="Times New Roman" w:hAnsi="Times New Roman" w:cs="Times New Roman"/>
        </w:rPr>
        <w:t>) origináloch zhodného obsahu, z ktorých Odovzdávajúci obdrží jedno (1) vyhotovenie</w:t>
      </w:r>
      <w:r w:rsidR="00711D4F">
        <w:rPr>
          <w:rFonts w:ascii="Times New Roman" w:eastAsia="Times New Roman" w:hAnsi="Times New Roman" w:cs="Times New Roman"/>
        </w:rPr>
        <w:t xml:space="preserve"> a</w:t>
      </w:r>
      <w:r w:rsidR="006419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Preberajúci </w:t>
      </w:r>
      <w:r w:rsidR="00711D4F" w:rsidRPr="00711D4F">
        <w:rPr>
          <w:rFonts w:ascii="Times New Roman" w:eastAsia="Times New Roman" w:hAnsi="Times New Roman" w:cs="Times New Roman"/>
          <w:highlight w:val="yellow"/>
        </w:rPr>
        <w:t>dve</w:t>
      </w:r>
      <w:r w:rsidR="00711D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711D4F" w:rsidRPr="00711D4F">
        <w:rPr>
          <w:rFonts w:ascii="Times New Roman" w:eastAsia="Times New Roman" w:hAnsi="Times New Roman" w:cs="Times New Roman"/>
          <w:highlight w:val="yellow"/>
        </w:rPr>
        <w:t>2</w:t>
      </w:r>
      <w:r>
        <w:rPr>
          <w:rFonts w:ascii="Times New Roman" w:eastAsia="Times New Roman" w:hAnsi="Times New Roman" w:cs="Times New Roman"/>
        </w:rPr>
        <w:t>) vyhotoveni</w:t>
      </w:r>
      <w:r w:rsidR="00711D4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0000005F" w14:textId="77777777" w:rsidR="00A24267" w:rsidRDefault="00A24267">
      <w:pPr>
        <w:spacing w:after="0" w:line="240" w:lineRule="auto"/>
        <w:ind w:hanging="550"/>
        <w:jc w:val="both"/>
        <w:rPr>
          <w:rFonts w:ascii="Times New Roman" w:eastAsia="Times New Roman" w:hAnsi="Times New Roman" w:cs="Times New Roman"/>
        </w:rPr>
      </w:pPr>
    </w:p>
    <w:p w14:paraId="00000061" w14:textId="041369AC" w:rsidR="00A24267" w:rsidRPr="00313BCE" w:rsidRDefault="00AD2E20" w:rsidP="00313BCE">
      <w:pPr>
        <w:numPr>
          <w:ilvl w:val="0"/>
          <w:numId w:val="1"/>
        </w:numPr>
        <w:spacing w:after="0" w:line="240" w:lineRule="auto"/>
        <w:ind w:left="0" w:hanging="5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Obidve zmluvné strany vyhlasujú, že si tento Protokol pred jeho podpísaním riadne prečítali, že porozumeli všetkým jeho ustanoveniam a jeho obsahu, na dôkaz čoho pripájajú svoje vlastnoručné podpisy.</w:t>
      </w:r>
    </w:p>
    <w:p w14:paraId="00000062" w14:textId="77777777" w:rsidR="00A24267" w:rsidRDefault="00A242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103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3" w14:textId="236D5D3A" w:rsidR="00A24267" w:rsidRDefault="00AD2E2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103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 Bratislave, dňa </w:t>
      </w:r>
      <w:r w:rsidR="00711D4F" w:rsidRPr="00711D4F">
        <w:rPr>
          <w:rFonts w:ascii="Times New Roman" w:eastAsia="Times New Roman" w:hAnsi="Times New Roman" w:cs="Times New Roman"/>
          <w:color w:val="000000"/>
          <w:highlight w:val="yellow"/>
        </w:rPr>
        <w:t>...</w:t>
      </w:r>
      <w:r>
        <w:rPr>
          <w:rFonts w:ascii="Times New Roman" w:eastAsia="Times New Roman" w:hAnsi="Times New Roman" w:cs="Times New Roman"/>
          <w:color w:val="000000"/>
        </w:rPr>
        <w:t>20</w:t>
      </w:r>
      <w:r w:rsidR="00711D4F">
        <w:rPr>
          <w:rFonts w:ascii="Times New Roman" w:eastAsia="Times New Roman" w:hAnsi="Times New Roman" w:cs="Times New Roman"/>
          <w:color w:val="000000"/>
        </w:rPr>
        <w:t>2</w:t>
      </w:r>
      <w:r w:rsidR="00313BCE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64" w14:textId="77777777" w:rsidR="00A24267" w:rsidRDefault="00A242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690851C" w14:textId="109AF1B8" w:rsidR="00711D4F" w:rsidRPr="005A3090" w:rsidRDefault="00711D4F" w:rsidP="00711D4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5A3090">
        <w:rPr>
          <w:rFonts w:ascii="Times New Roman" w:hAnsi="Times New Roman"/>
        </w:rPr>
        <w:t>Za Prenajímateľa:</w:t>
      </w:r>
      <w:r w:rsidRPr="005A3090">
        <w:rPr>
          <w:rFonts w:ascii="Times New Roman" w:hAnsi="Times New Roman"/>
        </w:rPr>
        <w:tab/>
      </w:r>
      <w:r w:rsidRPr="005A3090">
        <w:rPr>
          <w:rFonts w:ascii="Times New Roman" w:hAnsi="Times New Roman"/>
        </w:rPr>
        <w:tab/>
        <w:t>Za Nájomc</w:t>
      </w:r>
      <w:r w:rsidR="00313BCE">
        <w:rPr>
          <w:rFonts w:ascii="Times New Roman" w:hAnsi="Times New Roman"/>
        </w:rPr>
        <w:t>u</w:t>
      </w:r>
      <w:r w:rsidRPr="005A3090">
        <w:rPr>
          <w:rFonts w:ascii="Times New Roman" w:hAnsi="Times New Roman"/>
        </w:rPr>
        <w:t>:</w:t>
      </w:r>
    </w:p>
    <w:p w14:paraId="214F74C4" w14:textId="77777777" w:rsidR="00711D4F" w:rsidRPr="005A3090" w:rsidRDefault="00711D4F" w:rsidP="00711D4F">
      <w:pPr>
        <w:spacing w:after="0" w:line="240" w:lineRule="auto"/>
        <w:jc w:val="both"/>
        <w:rPr>
          <w:rFonts w:ascii="Times New Roman" w:hAnsi="Times New Roman"/>
        </w:rPr>
      </w:pPr>
      <w:r w:rsidRPr="005A3090">
        <w:rPr>
          <w:rFonts w:ascii="Times New Roman" w:hAnsi="Times New Roman"/>
        </w:rPr>
        <w:t xml:space="preserve">                               </w:t>
      </w:r>
    </w:p>
    <w:p w14:paraId="003F44C5" w14:textId="77777777" w:rsidR="00711D4F" w:rsidRPr="005A3090" w:rsidRDefault="00711D4F" w:rsidP="00711D4F">
      <w:pPr>
        <w:spacing w:after="0" w:line="240" w:lineRule="auto"/>
        <w:jc w:val="both"/>
        <w:rPr>
          <w:rFonts w:ascii="Times New Roman" w:hAnsi="Times New Roman"/>
        </w:rPr>
      </w:pPr>
    </w:p>
    <w:p w14:paraId="163DEA93" w14:textId="77777777" w:rsidR="00711D4F" w:rsidRPr="005A3090" w:rsidRDefault="00711D4F" w:rsidP="00711D4F">
      <w:pPr>
        <w:spacing w:after="0" w:line="240" w:lineRule="auto"/>
        <w:jc w:val="both"/>
        <w:rPr>
          <w:rFonts w:ascii="Times New Roman" w:hAnsi="Times New Roman"/>
        </w:rPr>
      </w:pPr>
    </w:p>
    <w:p w14:paraId="605CB4EF" w14:textId="77777777" w:rsidR="00711D4F" w:rsidRPr="005A3090" w:rsidRDefault="00711D4F" w:rsidP="00711D4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</w:rPr>
      </w:pPr>
      <w:r w:rsidRPr="005A3090">
        <w:rPr>
          <w:rFonts w:ascii="Times New Roman" w:hAnsi="Times New Roman"/>
        </w:rPr>
        <w:t xml:space="preserve">...................................................              </w:t>
      </w:r>
      <w:r w:rsidRPr="005A3090">
        <w:rPr>
          <w:rFonts w:ascii="Times New Roman" w:hAnsi="Times New Roman"/>
        </w:rPr>
        <w:tab/>
      </w:r>
      <w:r w:rsidRPr="005A3090">
        <w:rPr>
          <w:rFonts w:ascii="Times New Roman" w:hAnsi="Times New Roman"/>
        </w:rPr>
        <w:tab/>
        <w:t xml:space="preserve">...................................................       </w:t>
      </w:r>
      <w:r w:rsidRPr="005A3090">
        <w:rPr>
          <w:rFonts w:ascii="Times New Roman" w:hAnsi="Times New Roman"/>
        </w:rPr>
        <w:tab/>
      </w:r>
    </w:p>
    <w:p w14:paraId="5F96317C" w14:textId="77777777" w:rsidR="00711D4F" w:rsidRPr="005A3090" w:rsidRDefault="00711D4F" w:rsidP="00711D4F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hd w:val="clear" w:color="auto" w:fill="FFFFFF"/>
        </w:rPr>
      </w:pPr>
      <w:r w:rsidRPr="005A3090">
        <w:rPr>
          <w:rFonts w:ascii="Times New Roman" w:eastAsia="Times New Roman" w:hAnsi="Times New Roman"/>
          <w:b/>
          <w:shd w:val="clear" w:color="auto" w:fill="FFFFFF"/>
          <w:lang w:eastAsia="sk-SK"/>
        </w:rPr>
        <w:t>Marián Miškanin</w:t>
      </w:r>
      <w:r w:rsidRPr="005A3090">
        <w:rPr>
          <w:rFonts w:ascii="Times New Roman" w:eastAsia="Times New Roman" w:hAnsi="Times New Roman"/>
          <w:b/>
          <w:shd w:val="clear" w:color="auto" w:fill="FFFFFF"/>
          <w:lang w:eastAsia="sk-SK"/>
        </w:rPr>
        <w:tab/>
      </w:r>
      <w:r w:rsidRPr="005A3090">
        <w:rPr>
          <w:rFonts w:ascii="Times New Roman" w:eastAsia="Times New Roman" w:hAnsi="Times New Roman"/>
          <w:b/>
          <w:shd w:val="clear" w:color="auto" w:fill="FFFFFF"/>
          <w:lang w:eastAsia="sk-SK"/>
        </w:rPr>
        <w:tab/>
        <w:t>Hana Jakubičková</w:t>
      </w:r>
      <w:r w:rsidRPr="005A3090">
        <w:rPr>
          <w:rFonts w:ascii="Times New Roman" w:eastAsia="Times New Roman" w:hAnsi="Times New Roman"/>
          <w:b/>
          <w:shd w:val="clear" w:color="auto" w:fill="FFFFFF"/>
          <w:lang w:eastAsia="sk-SK"/>
        </w:rPr>
        <w:tab/>
      </w:r>
      <w:r w:rsidRPr="005A3090">
        <w:rPr>
          <w:rFonts w:ascii="Times New Roman" w:eastAsia="Times New Roman" w:hAnsi="Times New Roman"/>
          <w:b/>
          <w:shd w:val="clear" w:color="auto" w:fill="FFFFFF"/>
          <w:lang w:eastAsia="sk-SK"/>
        </w:rPr>
        <w:tab/>
      </w:r>
    </w:p>
    <w:p w14:paraId="00000070" w14:textId="77777777" w:rsidR="00A24267" w:rsidRDefault="00A24267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71" w14:textId="77777777" w:rsidR="00A24267" w:rsidRDefault="00AD2E20">
      <w:pPr>
        <w:tabs>
          <w:tab w:val="left" w:pos="5103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Príloha:</w:t>
      </w:r>
    </w:p>
    <w:p w14:paraId="00000072" w14:textId="77777777" w:rsidR="00A24267" w:rsidRDefault="00AD2E20">
      <w:pPr>
        <w:tabs>
          <w:tab w:val="left" w:pos="5103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Fotky meracích zariadení ()</w:t>
      </w:r>
    </w:p>
    <w:sectPr w:rsidR="00A24267">
      <w:headerReference w:type="default" r:id="rId11"/>
      <w:footerReference w:type="default" r:id="rId12"/>
      <w:pgSz w:w="12240" w:h="15840"/>
      <w:pgMar w:top="851" w:right="1134" w:bottom="851" w:left="1418" w:header="709" w:footer="51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Právnik osobnimakleri.sk" w:date="2019-12-01T11:42:00Z" w:initials="">
    <w:p w14:paraId="00000075" w14:textId="77777777" w:rsidR="00A24267" w:rsidRDefault="00AD2E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Prípadne vady alebo záväzky odovzdávajúceho či preberajúceho.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7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75" w16cid:durableId="22961A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E0F2" w14:textId="77777777" w:rsidR="00C77D69" w:rsidRDefault="00C77D69">
      <w:pPr>
        <w:spacing w:after="0" w:line="240" w:lineRule="auto"/>
      </w:pPr>
      <w:r>
        <w:separator/>
      </w:r>
    </w:p>
  </w:endnote>
  <w:endnote w:type="continuationSeparator" w:id="0">
    <w:p w14:paraId="09596815" w14:textId="77777777" w:rsidR="00C77D69" w:rsidRDefault="00C7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A24267" w:rsidRDefault="00A24267">
    <w:pPr>
      <w:pBdr>
        <w:top w:val="single" w:sz="4" w:space="0" w:color="D9D9D9"/>
        <w:left w:val="nil"/>
        <w:bottom w:val="nil"/>
        <w:right w:val="nil"/>
        <w:between w:val="nil"/>
      </w:pBdr>
      <w:tabs>
        <w:tab w:val="left" w:pos="0"/>
        <w:tab w:val="left" w:pos="9972"/>
      </w:tabs>
      <w:ind w:right="-38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10E9" w14:textId="77777777" w:rsidR="00C77D69" w:rsidRDefault="00C77D69">
      <w:pPr>
        <w:spacing w:after="0" w:line="240" w:lineRule="auto"/>
      </w:pPr>
      <w:r>
        <w:separator/>
      </w:r>
    </w:p>
  </w:footnote>
  <w:footnote w:type="continuationSeparator" w:id="0">
    <w:p w14:paraId="5D12747A" w14:textId="77777777" w:rsidR="00C77D69" w:rsidRDefault="00C7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A24267" w:rsidRDefault="00AD2E20">
    <w:pPr>
      <w:jc w:val="center"/>
    </w:pPr>
    <w:r>
      <w:rPr>
        <w:noProof/>
      </w:rPr>
      <w:drawing>
        <wp:inline distT="114300" distB="114300" distL="114300" distR="114300" wp14:anchorId="1EC410FD" wp14:editId="62CC82AA">
          <wp:extent cx="724217" cy="72421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217" cy="724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4DF"/>
    <w:multiLevelType w:val="multilevel"/>
    <w:tmpl w:val="09124F36"/>
    <w:lvl w:ilvl="0">
      <w:start w:val="6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multilevel"/>
    <w:tmpl w:val="5B147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6F25"/>
    <w:multiLevelType w:val="hybridMultilevel"/>
    <w:tmpl w:val="FC108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11906"/>
    <w:multiLevelType w:val="hybridMultilevel"/>
    <w:tmpl w:val="00889AF0"/>
    <w:lvl w:ilvl="0" w:tplc="041B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73B70EC3"/>
    <w:multiLevelType w:val="hybridMultilevel"/>
    <w:tmpl w:val="B42443EA"/>
    <w:lvl w:ilvl="0" w:tplc="CC9C0D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67"/>
    <w:rsid w:val="00313BCE"/>
    <w:rsid w:val="00641952"/>
    <w:rsid w:val="00711D4F"/>
    <w:rsid w:val="0072617F"/>
    <w:rsid w:val="008B5C4B"/>
    <w:rsid w:val="00A24267"/>
    <w:rsid w:val="00AD1D5A"/>
    <w:rsid w:val="00AD2E20"/>
    <w:rsid w:val="00C77D69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DDB"/>
  <w15:docId w15:val="{AE3B45F2-608E-4D5A-8FA6-2050E2AA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1D5A"/>
    <w:rPr>
      <w:lang w:eastAsia="en-US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JSzkladn">
    <w:name w:val="JS základný"/>
    <w:basedOn w:val="Normlny"/>
    <w:rsid w:val="005A1B94"/>
    <w:pPr>
      <w:spacing w:after="0" w:line="240" w:lineRule="auto"/>
      <w:jc w:val="both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1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1B94"/>
    <w:rPr>
      <w:rFonts w:ascii="Tahoma" w:hAnsi="Tahoma" w:cs="Tahoma"/>
      <w:sz w:val="16"/>
      <w:szCs w:val="16"/>
      <w:lang w:val="sk-SK"/>
    </w:rPr>
  </w:style>
  <w:style w:type="paragraph" w:styleId="Odsekzoznamu">
    <w:name w:val="List Paragraph"/>
    <w:basedOn w:val="Normlny"/>
    <w:uiPriority w:val="34"/>
    <w:qFormat/>
    <w:rsid w:val="00DD023A"/>
    <w:pPr>
      <w:ind w:left="720"/>
    </w:pPr>
  </w:style>
  <w:style w:type="paragraph" w:styleId="Hlavika">
    <w:name w:val="header"/>
    <w:basedOn w:val="Normlny"/>
    <w:link w:val="HlavikaChar"/>
    <w:uiPriority w:val="99"/>
    <w:semiHidden/>
    <w:unhideWhenUsed/>
    <w:rsid w:val="008C0CB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link w:val="Hlavika"/>
    <w:uiPriority w:val="99"/>
    <w:semiHidden/>
    <w:rsid w:val="008C0CBF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8C0CBF"/>
    <w:pPr>
      <w:tabs>
        <w:tab w:val="center" w:pos="4680"/>
        <w:tab w:val="right" w:pos="9360"/>
      </w:tabs>
    </w:pPr>
  </w:style>
  <w:style w:type="character" w:customStyle="1" w:styleId="PtaChar">
    <w:name w:val="Päta Char"/>
    <w:link w:val="Pta"/>
    <w:uiPriority w:val="99"/>
    <w:rsid w:val="008C0CBF"/>
    <w:rPr>
      <w:sz w:val="22"/>
      <w:szCs w:val="22"/>
      <w:lang w:val="sk-SK"/>
    </w:rPr>
  </w:style>
  <w:style w:type="table" w:styleId="Mriekatabuky">
    <w:name w:val="Table Grid"/>
    <w:basedOn w:val="Normlnatabuka"/>
    <w:uiPriority w:val="59"/>
    <w:rsid w:val="009C6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E71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71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71A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71A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71AF"/>
    <w:rPr>
      <w:b/>
      <w:bCs/>
      <w:lang w:eastAsia="en-US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sm1Oj/S0kt7CDgli2yIrcL1BZA==">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Dominik Petrovič</cp:lastModifiedBy>
  <cp:revision>3</cp:revision>
  <dcterms:created xsi:type="dcterms:W3CDTF">2020-07-31T07:19:00Z</dcterms:created>
  <dcterms:modified xsi:type="dcterms:W3CDTF">2021-10-28T18:31:00Z</dcterms:modified>
</cp:coreProperties>
</file>