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CBDB3" w14:textId="77777777" w:rsidR="008F7063" w:rsidRDefault="00CE6646">
      <w:pPr>
        <w:spacing w:line="276" w:lineRule="auto"/>
        <w:jc w:val="right"/>
      </w:pPr>
      <w:r>
        <w:rPr>
          <w:noProof/>
          <w:lang w:eastAsia="en-GB"/>
        </w:rPr>
        <w:drawing>
          <wp:inline distT="0" distB="0" distL="0" distR="0" wp14:anchorId="60AD3143" wp14:editId="6F47D00C">
            <wp:extent cx="1531382" cy="976972"/>
            <wp:effectExtent l="0" t="0" r="5318" b="928"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31382" cy="97697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tbl>
      <w:tblPr>
        <w:tblW w:w="901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16"/>
      </w:tblGrid>
      <w:tr w:rsidR="008F7063" w14:paraId="5669839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96290F" w14:textId="77777777" w:rsidR="008F7063" w:rsidRDefault="00CE6646">
            <w:pPr>
              <w:spacing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Policy Position Summary: Victims and Witnesses</w:t>
            </w:r>
          </w:p>
          <w:p w14:paraId="66B204A8" w14:textId="77777777" w:rsidR="008F7063" w:rsidRDefault="00CE6646">
            <w:pPr>
              <w:spacing w:after="0" w:line="276" w:lineRule="auto"/>
              <w:jc w:val="right"/>
              <w:rPr>
                <w:b/>
              </w:rPr>
            </w:pPr>
            <w:r>
              <w:rPr>
                <w:b/>
              </w:rPr>
              <w:t>19 June 2018</w:t>
            </w:r>
          </w:p>
        </w:tc>
      </w:tr>
      <w:tr w:rsidR="008F7063" w14:paraId="271C6DC8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E8FFAF" w14:textId="77777777" w:rsidR="008F7063" w:rsidRDefault="00CE6646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What does the PCVC wish to achieve?</w:t>
            </w:r>
          </w:p>
          <w:p w14:paraId="0DA5A449" w14:textId="77777777" w:rsidR="008F7063" w:rsidRDefault="00CE6646">
            <w:pPr>
              <w:pStyle w:val="ListParagraph"/>
              <w:numPr>
                <w:ilvl w:val="0"/>
                <w:numId w:val="1"/>
              </w:numPr>
              <w:spacing w:after="32" w:line="276" w:lineRule="auto"/>
              <w:ind w:right="75"/>
              <w:jc w:val="both"/>
              <w:rPr>
                <w:rFonts w:eastAsia="Arial" w:cs="Arial"/>
                <w:color w:val="000000"/>
                <w:lang w:eastAsia="en-GB"/>
              </w:rPr>
            </w:pPr>
            <w:r>
              <w:rPr>
                <w:rFonts w:eastAsia="Arial" w:cs="Arial"/>
                <w:color w:val="000000"/>
                <w:lang w:eastAsia="en-GB"/>
              </w:rPr>
              <w:t xml:space="preserve">Systems, processes and services that are designed around victim and witness </w:t>
            </w:r>
            <w:proofErr w:type="gramStart"/>
            <w:r>
              <w:rPr>
                <w:rFonts w:eastAsia="Arial" w:cs="Arial"/>
                <w:color w:val="000000"/>
                <w:lang w:eastAsia="en-GB"/>
              </w:rPr>
              <w:t>needs;</w:t>
            </w:r>
            <w:proofErr w:type="gramEnd"/>
            <w:r>
              <w:rPr>
                <w:rFonts w:eastAsia="Arial" w:cs="Arial"/>
                <w:color w:val="000000"/>
                <w:lang w:eastAsia="en-GB"/>
              </w:rPr>
              <w:t xml:space="preserve"> </w:t>
            </w:r>
          </w:p>
          <w:p w14:paraId="269C317A" w14:textId="77777777" w:rsidR="008F7063" w:rsidRDefault="00CE6646">
            <w:pPr>
              <w:pStyle w:val="ListParagraph"/>
              <w:numPr>
                <w:ilvl w:val="0"/>
                <w:numId w:val="1"/>
              </w:numPr>
              <w:spacing w:after="5" w:line="276" w:lineRule="auto"/>
              <w:ind w:right="75"/>
              <w:jc w:val="both"/>
              <w:rPr>
                <w:rFonts w:eastAsia="Arial" w:cs="Arial"/>
                <w:color w:val="000000"/>
                <w:lang w:eastAsia="en-GB"/>
              </w:rPr>
            </w:pPr>
            <w:r>
              <w:rPr>
                <w:rFonts w:eastAsia="Arial" w:cs="Arial"/>
                <w:color w:val="000000"/>
                <w:lang w:eastAsia="en-GB"/>
              </w:rPr>
              <w:t xml:space="preserve">Support for victims that is integrated, </w:t>
            </w:r>
            <w:r>
              <w:rPr>
                <w:rFonts w:eastAsia="Arial" w:cs="Arial"/>
                <w:color w:val="000000"/>
                <w:lang w:eastAsia="en-GB"/>
              </w:rPr>
              <w:t xml:space="preserve">seamless and co-ordinated – an ‘end to end’ </w:t>
            </w:r>
            <w:proofErr w:type="gramStart"/>
            <w:r>
              <w:rPr>
                <w:rFonts w:eastAsia="Arial" w:cs="Arial"/>
                <w:color w:val="000000"/>
                <w:lang w:eastAsia="en-GB"/>
              </w:rPr>
              <w:t>system;</w:t>
            </w:r>
            <w:proofErr w:type="gramEnd"/>
            <w:r>
              <w:rPr>
                <w:rFonts w:eastAsia="Arial" w:cs="Arial"/>
                <w:color w:val="000000"/>
                <w:lang w:eastAsia="en-GB"/>
              </w:rPr>
              <w:t xml:space="preserve"> </w:t>
            </w:r>
          </w:p>
          <w:p w14:paraId="5122EE8F" w14:textId="77777777" w:rsidR="008F7063" w:rsidRDefault="00CE6646">
            <w:pPr>
              <w:pStyle w:val="ListParagraph"/>
              <w:numPr>
                <w:ilvl w:val="0"/>
                <w:numId w:val="1"/>
              </w:numPr>
              <w:spacing w:after="5" w:line="276" w:lineRule="auto"/>
              <w:ind w:right="75"/>
              <w:jc w:val="both"/>
              <w:rPr>
                <w:rFonts w:eastAsia="Arial" w:cs="Arial"/>
                <w:color w:val="000000"/>
                <w:lang w:eastAsia="en-GB"/>
              </w:rPr>
            </w:pPr>
            <w:r>
              <w:rPr>
                <w:rFonts w:eastAsia="Arial" w:cs="Arial"/>
                <w:color w:val="000000"/>
                <w:lang w:eastAsia="en-GB"/>
              </w:rPr>
              <w:t xml:space="preserve">The needs of victims and witnesses are central to criminal justice </w:t>
            </w:r>
            <w:proofErr w:type="gramStart"/>
            <w:r>
              <w:rPr>
                <w:rFonts w:eastAsia="Arial" w:cs="Arial"/>
                <w:color w:val="000000"/>
                <w:lang w:eastAsia="en-GB"/>
              </w:rPr>
              <w:t>processes;</w:t>
            </w:r>
            <w:proofErr w:type="gramEnd"/>
            <w:r>
              <w:rPr>
                <w:rFonts w:eastAsia="Arial" w:cs="Arial"/>
                <w:color w:val="000000"/>
                <w:lang w:eastAsia="en-GB"/>
              </w:rPr>
              <w:t xml:space="preserve"> </w:t>
            </w:r>
          </w:p>
          <w:p w14:paraId="4426CA9A" w14:textId="77777777" w:rsidR="008F7063" w:rsidRDefault="00CE6646">
            <w:pPr>
              <w:pStyle w:val="ListParagraph"/>
              <w:numPr>
                <w:ilvl w:val="0"/>
                <w:numId w:val="1"/>
              </w:numPr>
              <w:spacing w:after="35" w:line="276" w:lineRule="auto"/>
              <w:ind w:right="75"/>
              <w:jc w:val="both"/>
              <w:rPr>
                <w:rFonts w:eastAsia="Arial" w:cs="Arial"/>
                <w:color w:val="000000"/>
                <w:lang w:eastAsia="en-GB"/>
              </w:rPr>
            </w:pPr>
            <w:r>
              <w:rPr>
                <w:rFonts w:eastAsia="Arial" w:cs="Arial"/>
                <w:color w:val="000000"/>
                <w:lang w:eastAsia="en-GB"/>
              </w:rPr>
              <w:t xml:space="preserve">Victims are supported to remain engaged with criminal justice </w:t>
            </w:r>
            <w:proofErr w:type="gramStart"/>
            <w:r>
              <w:rPr>
                <w:rFonts w:eastAsia="Arial" w:cs="Arial"/>
                <w:color w:val="000000"/>
                <w:lang w:eastAsia="en-GB"/>
              </w:rPr>
              <w:t>processes;</w:t>
            </w:r>
            <w:proofErr w:type="gramEnd"/>
            <w:r>
              <w:rPr>
                <w:rFonts w:eastAsia="Arial" w:cs="Arial"/>
                <w:color w:val="000000"/>
                <w:lang w:eastAsia="en-GB"/>
              </w:rPr>
              <w:t xml:space="preserve">   </w:t>
            </w:r>
          </w:p>
          <w:p w14:paraId="1F3749F1" w14:textId="77777777" w:rsidR="008F7063" w:rsidRDefault="00CE6646">
            <w:pPr>
              <w:pStyle w:val="ListParagraph"/>
              <w:numPr>
                <w:ilvl w:val="0"/>
                <w:numId w:val="1"/>
              </w:numPr>
              <w:spacing w:after="0" w:line="276" w:lineRule="auto"/>
            </w:pPr>
            <w:r>
              <w:rPr>
                <w:rFonts w:eastAsia="Arial" w:cs="Arial"/>
                <w:color w:val="000000"/>
                <w:lang w:eastAsia="en-GB"/>
              </w:rPr>
              <w:t>Opportunities for victims to cope and recovery f</w:t>
            </w:r>
            <w:r>
              <w:rPr>
                <w:rFonts w:eastAsia="Arial" w:cs="Arial"/>
                <w:color w:val="000000"/>
                <w:lang w:eastAsia="en-GB"/>
              </w:rPr>
              <w:t>rom their experience are optimised.</w:t>
            </w:r>
          </w:p>
        </w:tc>
      </w:tr>
      <w:tr w:rsidR="008F7063" w14:paraId="14D048F0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C5339" w14:textId="77777777" w:rsidR="008F7063" w:rsidRDefault="00CE6646">
            <w:pPr>
              <w:pStyle w:val="Pa3"/>
              <w:spacing w:line="276" w:lineRule="auto"/>
              <w:jc w:val="both"/>
            </w:pPr>
            <w:r>
              <w:rPr>
                <w:rStyle w:val="A3"/>
                <w:rFonts w:ascii="Calibri" w:hAnsi="Calibri"/>
                <w:u w:val="single"/>
              </w:rPr>
              <w:t>Evidence Base</w:t>
            </w:r>
          </w:p>
          <w:p w14:paraId="560162B6" w14:textId="77777777" w:rsidR="008F7063" w:rsidRDefault="00CE6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Cs/>
              </w:rPr>
              <w:t>While 80% of victims are likely to require little or no support, the remaining 20% often need complex care and support that requires robust needs assessment and a multi-agency approach (</w:t>
            </w:r>
            <w:r>
              <w:rPr>
                <w:rFonts w:cs="Arial"/>
                <w:b/>
                <w:i/>
              </w:rPr>
              <w:t xml:space="preserve">Evidence and </w:t>
            </w:r>
            <w:r>
              <w:rPr>
                <w:rFonts w:cs="Arial"/>
                <w:b/>
                <w:i/>
              </w:rPr>
              <w:t>practice review of support for victims and outcome measurement, National Centre for Social Research 2012</w:t>
            </w:r>
            <w:r>
              <w:rPr>
                <w:rFonts w:cs="Arial"/>
              </w:rPr>
              <w:t>)</w:t>
            </w:r>
          </w:p>
          <w:p w14:paraId="0E34B204" w14:textId="77777777" w:rsidR="008F7063" w:rsidRDefault="00CE6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</w:rPr>
              <w:t>Victims of crime have diverse needs that should be reflected in the range of support available and the services and interventions offered (</w:t>
            </w:r>
            <w:r>
              <w:rPr>
                <w:rFonts w:cs="Arial"/>
                <w:b/>
                <w:i/>
              </w:rPr>
              <w:t>Measuring o</w:t>
            </w:r>
            <w:r>
              <w:rPr>
                <w:rFonts w:cs="Arial"/>
                <w:b/>
                <w:i/>
              </w:rPr>
              <w:t>utcomes for victims of crime National Centre for Social Research, 2012</w:t>
            </w:r>
            <w:r>
              <w:rPr>
                <w:rFonts w:cs="Arial"/>
              </w:rPr>
              <w:t>)</w:t>
            </w:r>
          </w:p>
          <w:p w14:paraId="169E0B63" w14:textId="77777777" w:rsidR="008F7063" w:rsidRDefault="00CE6646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rPr>
                <w:rFonts w:cs="Arial"/>
                <w:bCs/>
              </w:rPr>
              <w:t xml:space="preserve">Victims too often feel themselves to be an afterthought for the CJS.  Despite improvements over the last two decades, the system has continued to fall </w:t>
            </w:r>
            <w:proofErr w:type="gramStart"/>
            <w:r>
              <w:rPr>
                <w:rFonts w:cs="Arial"/>
                <w:bCs/>
              </w:rPr>
              <w:t>short  -</w:t>
            </w:r>
            <w:proofErr w:type="gramEnd"/>
            <w:r>
              <w:rPr>
                <w:rFonts w:cs="Arial"/>
                <w:bCs/>
              </w:rPr>
              <w:t xml:space="preserve"> whether in relation to h</w:t>
            </w:r>
            <w:r>
              <w:rPr>
                <w:rFonts w:cs="Arial"/>
                <w:bCs/>
              </w:rPr>
              <w:t>elping victims recover in the aftermath of crime, supporting them through the stresses of investigation and trial, or providing the right services (</w:t>
            </w:r>
            <w:r>
              <w:rPr>
                <w:rFonts w:cs="Arial"/>
                <w:b/>
                <w:bCs/>
                <w:i/>
              </w:rPr>
              <w:t xml:space="preserve">Getting it right for victims and witnesses, </w:t>
            </w:r>
            <w:proofErr w:type="spellStart"/>
            <w:r>
              <w:rPr>
                <w:rFonts w:cs="Arial"/>
                <w:b/>
                <w:bCs/>
                <w:i/>
              </w:rPr>
              <w:t>MoJ</w:t>
            </w:r>
            <w:proofErr w:type="spellEnd"/>
            <w:r>
              <w:rPr>
                <w:rFonts w:cs="Arial"/>
                <w:b/>
                <w:bCs/>
                <w:i/>
              </w:rPr>
              <w:t>, 2012</w:t>
            </w:r>
            <w:r>
              <w:rPr>
                <w:rFonts w:cs="Arial"/>
                <w:bCs/>
              </w:rPr>
              <w:t>)</w:t>
            </w:r>
          </w:p>
          <w:p w14:paraId="482796D4" w14:textId="77777777" w:rsidR="008F7063" w:rsidRDefault="00CE6646">
            <w:pPr>
              <w:pStyle w:val="ListParagraph"/>
              <w:numPr>
                <w:ilvl w:val="0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i/>
                <w:color w:val="333333"/>
              </w:rPr>
              <w:t>At risk, yet dismissed, 2013</w:t>
            </w:r>
            <w:r>
              <w:rPr>
                <w:rStyle w:val="Strong"/>
                <w:rFonts w:cs="Arial"/>
                <w:color w:val="333333"/>
              </w:rPr>
              <w:t>:</w:t>
            </w:r>
          </w:p>
          <w:p w14:paraId="31D20FE5" w14:textId="77777777" w:rsidR="008F7063" w:rsidRDefault="00CE6646">
            <w:pPr>
              <w:pStyle w:val="ListParagraph"/>
              <w:numPr>
                <w:ilvl w:val="1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color w:val="333333"/>
              </w:rPr>
              <w:t xml:space="preserve"> </w:t>
            </w:r>
            <w:r>
              <w:rPr>
                <w:rStyle w:val="Strong"/>
                <w:rFonts w:cs="Arial"/>
                <w:b w:val="0"/>
                <w:color w:val="333333"/>
              </w:rPr>
              <w:t xml:space="preserve">People with a </w:t>
            </w:r>
            <w:r>
              <w:rPr>
                <w:rStyle w:val="Strong"/>
                <w:rFonts w:cs="Arial"/>
                <w:b w:val="0"/>
                <w:color w:val="333333"/>
              </w:rPr>
              <w:t>severe mental illness (SMI) are five times more likely to be a victim of assault and three times more likely to be a victim of household crime than people in the general population</w:t>
            </w:r>
          </w:p>
          <w:p w14:paraId="62B8859A" w14:textId="77777777" w:rsidR="008F7063" w:rsidRDefault="00CE6646">
            <w:pPr>
              <w:pStyle w:val="ListParagraph"/>
              <w:numPr>
                <w:ilvl w:val="1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b w:val="0"/>
                <w:color w:val="333333"/>
              </w:rPr>
              <w:t>Victims with mental health problems are often reluctant to come forward bec</w:t>
            </w:r>
            <w:r>
              <w:rPr>
                <w:rStyle w:val="Strong"/>
                <w:rFonts w:cs="Arial"/>
                <w:b w:val="0"/>
                <w:color w:val="333333"/>
              </w:rPr>
              <w:t>ause they fear a negative response from the police; being blamed for the causing the incident; not being believed or taken seriously; worries that their mental health problem might be used as a basis to discredit them or that they might be sectioned if the</w:t>
            </w:r>
            <w:r>
              <w:rPr>
                <w:rStyle w:val="Strong"/>
                <w:rFonts w:cs="Arial"/>
                <w:b w:val="0"/>
                <w:color w:val="333333"/>
              </w:rPr>
              <w:t xml:space="preserve">y try to report a crime against them </w:t>
            </w:r>
          </w:p>
          <w:p w14:paraId="5BEA54BD" w14:textId="77777777" w:rsidR="008F7063" w:rsidRDefault="00CE6646">
            <w:pPr>
              <w:pStyle w:val="ListParagraph"/>
              <w:numPr>
                <w:ilvl w:val="1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b w:val="0"/>
                <w:color w:val="333333"/>
              </w:rPr>
              <w:t>Victims with SMI are up to four times more likely to be victimised by their relatives or acquaintances than those from the general population</w:t>
            </w:r>
          </w:p>
          <w:p w14:paraId="47C1B0CC" w14:textId="77777777" w:rsidR="008F7063" w:rsidRDefault="00CE6646">
            <w:pPr>
              <w:pStyle w:val="ListParagraph"/>
              <w:numPr>
                <w:ilvl w:val="0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i/>
                <w:color w:val="333333"/>
              </w:rPr>
              <w:t>What works in supporting victims of crime: A rapid evidence assessment, Nati</w:t>
            </w:r>
            <w:r>
              <w:rPr>
                <w:rStyle w:val="Strong"/>
                <w:rFonts w:cs="Arial"/>
                <w:i/>
                <w:color w:val="333333"/>
              </w:rPr>
              <w:t>onal Victims Commissioner, 2016</w:t>
            </w:r>
            <w:r>
              <w:rPr>
                <w:rStyle w:val="Strong"/>
                <w:rFonts w:cs="Arial"/>
                <w:color w:val="333333"/>
              </w:rPr>
              <w:t>:</w:t>
            </w:r>
          </w:p>
          <w:p w14:paraId="6CA86FA7" w14:textId="77777777" w:rsidR="008F7063" w:rsidRDefault="00CE6646">
            <w:pPr>
              <w:pStyle w:val="ListParagraph"/>
              <w:numPr>
                <w:ilvl w:val="1"/>
                <w:numId w:val="2"/>
              </w:numPr>
              <w:spacing w:after="0" w:line="276" w:lineRule="auto"/>
            </w:pPr>
            <w:r>
              <w:rPr>
                <w:rStyle w:val="Strong"/>
                <w:rFonts w:cs="Arial"/>
                <w:b w:val="0"/>
                <w:color w:val="333333"/>
              </w:rPr>
              <w:t xml:space="preserve">Timely and accurate information about the criminal justice process, combined with well-funded and co-ordinated support services, will enable victims to make informed </w:t>
            </w:r>
            <w:proofErr w:type="gramStart"/>
            <w:r>
              <w:rPr>
                <w:rStyle w:val="Strong"/>
                <w:rFonts w:cs="Arial"/>
                <w:b w:val="0"/>
                <w:color w:val="333333"/>
              </w:rPr>
              <w:t>choices ,</w:t>
            </w:r>
            <w:proofErr w:type="gramEnd"/>
            <w:r>
              <w:rPr>
                <w:rStyle w:val="Strong"/>
                <w:rFonts w:cs="Arial"/>
                <w:b w:val="0"/>
                <w:color w:val="333333"/>
              </w:rPr>
              <w:t xml:space="preserve"> have a sense of autonomy and assist them in the</w:t>
            </w:r>
            <w:r>
              <w:rPr>
                <w:rStyle w:val="Strong"/>
                <w:rFonts w:cs="Arial"/>
                <w:b w:val="0"/>
                <w:color w:val="333333"/>
              </w:rPr>
              <w:t xml:space="preserve">ir recovery </w:t>
            </w:r>
          </w:p>
        </w:tc>
      </w:tr>
      <w:tr w:rsidR="008F7063" w14:paraId="7F693E05" w14:textId="77777777">
        <w:tblPrEx>
          <w:tblCellMar>
            <w:top w:w="0" w:type="dxa"/>
            <w:bottom w:w="0" w:type="dxa"/>
          </w:tblCellMar>
        </w:tblPrEx>
        <w:tc>
          <w:tcPr>
            <w:tcW w:w="9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AEEFD" w14:textId="77777777" w:rsidR="008F7063" w:rsidRDefault="00CE6646">
            <w:pPr>
              <w:spacing w:after="0" w:line="276" w:lineRule="auto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How will the PCVC’s aspirations be achieved?</w:t>
            </w:r>
          </w:p>
          <w:p w14:paraId="0DFF248C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Delivery of an overarching Victim Care and Advice Service (VCAS)</w:t>
            </w:r>
          </w:p>
          <w:p w14:paraId="1029D106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lastRenderedPageBreak/>
              <w:t>Reviewing and refreshing victim pathways and support across the whole criminal justice system</w:t>
            </w:r>
          </w:p>
          <w:p w14:paraId="2F449591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Access to advocacy for victims </w:t>
            </w:r>
            <w:r>
              <w:rPr>
                <w:rFonts w:cs="Arial"/>
              </w:rPr>
              <w:t>with mental health problems and victims of hate crime</w:t>
            </w:r>
          </w:p>
          <w:p w14:paraId="752AB2F7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Access to victim initiated restorative approaches </w:t>
            </w:r>
          </w:p>
          <w:p w14:paraId="02209F07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Multi-agency planning framework to enable collaborative planning and delivery</w:t>
            </w:r>
          </w:p>
          <w:p w14:paraId="3881753C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Effective performance monitoring and evaluation</w:t>
            </w:r>
          </w:p>
          <w:p w14:paraId="597B4049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Using </w:t>
            </w:r>
            <w:proofErr w:type="gramStart"/>
            <w:r>
              <w:rPr>
                <w:rFonts w:cs="Arial"/>
              </w:rPr>
              <w:t>outcome based</w:t>
            </w:r>
            <w:proofErr w:type="gramEnd"/>
            <w:r>
              <w:rPr>
                <w:rFonts w:cs="Arial"/>
              </w:rPr>
              <w:t xml:space="preserve"> commi</w:t>
            </w:r>
            <w:r>
              <w:rPr>
                <w:rFonts w:cs="Arial"/>
              </w:rPr>
              <w:t>ssioning processes</w:t>
            </w:r>
          </w:p>
          <w:p w14:paraId="685E17EB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Using Root Cause Analysis processes to identify and resolve issues that compromise victim/witness experience</w:t>
            </w:r>
          </w:p>
          <w:p w14:paraId="7CC885AF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Reviewing and refreshing victim pathways and support offer for victims of domestic abuse, rape and sexual assault</w:t>
            </w:r>
          </w:p>
          <w:p w14:paraId="33BD7952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Development of</w:t>
            </w:r>
            <w:r>
              <w:rPr>
                <w:rFonts w:cs="Arial"/>
              </w:rPr>
              <w:t xml:space="preserve"> a partnership memorandum of understanding to ensure appropriate support for victims of modern slavery/trafficking/exploitation</w:t>
            </w:r>
          </w:p>
          <w:p w14:paraId="06E40440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Delivery of specialist support for victims of Female Genital Mutilation, Honour Based Violence and Forced Marriage</w:t>
            </w:r>
          </w:p>
          <w:p w14:paraId="7483CD55" w14:textId="77777777" w:rsidR="008F7063" w:rsidRDefault="00CE6646">
            <w:pPr>
              <w:pStyle w:val="ListParagraph"/>
              <w:numPr>
                <w:ilvl w:val="0"/>
                <w:numId w:val="3"/>
              </w:numPr>
              <w:spacing w:after="0" w:line="276" w:lineRule="auto"/>
              <w:rPr>
                <w:rFonts w:cs="Arial"/>
              </w:rPr>
            </w:pPr>
            <w:r>
              <w:rPr>
                <w:rFonts w:cs="Arial"/>
              </w:rPr>
              <w:t>Improving the</w:t>
            </w:r>
            <w:r>
              <w:rPr>
                <w:rFonts w:cs="Arial"/>
              </w:rPr>
              <w:t xml:space="preserve"> quality of Victim Personal Statements</w:t>
            </w:r>
          </w:p>
        </w:tc>
      </w:tr>
    </w:tbl>
    <w:p w14:paraId="037D47AC" w14:textId="77777777" w:rsidR="008F7063" w:rsidRDefault="008F7063">
      <w:pPr>
        <w:spacing w:line="276" w:lineRule="auto"/>
      </w:pPr>
    </w:p>
    <w:p w14:paraId="78333CB7" w14:textId="77777777" w:rsidR="008F7063" w:rsidRDefault="008F7063"/>
    <w:sectPr w:rsidR="008F7063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A17CEB" w14:textId="77777777" w:rsidR="00CE6646" w:rsidRDefault="00CE6646">
      <w:pPr>
        <w:spacing w:after="0" w:line="240" w:lineRule="auto"/>
      </w:pPr>
      <w:r>
        <w:separator/>
      </w:r>
    </w:p>
  </w:endnote>
  <w:endnote w:type="continuationSeparator" w:id="0">
    <w:p w14:paraId="277011E7" w14:textId="77777777" w:rsidR="00CE6646" w:rsidRDefault="00CE6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adeGothic">
    <w:altName w:val="Calibri"/>
    <w:panose1 w:val="020B0604020202020204"/>
    <w:charset w:val="00"/>
    <w:family w:val="swiss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A7A5" w14:textId="77777777" w:rsidR="00CE6646" w:rsidRDefault="00CE664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8CF73D" w14:textId="77777777" w:rsidR="00CE6646" w:rsidRDefault="00CE66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A7C92"/>
    <w:multiLevelType w:val="multilevel"/>
    <w:tmpl w:val="7F94D0E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rade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3A77A74"/>
    <w:multiLevelType w:val="multilevel"/>
    <w:tmpl w:val="1F94B14C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6F991326"/>
    <w:multiLevelType w:val="multilevel"/>
    <w:tmpl w:val="8168F0F6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radeGothic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F7063"/>
    <w:rsid w:val="00136DF9"/>
    <w:rsid w:val="008F7063"/>
    <w:rsid w:val="00CE6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7ADA8F"/>
  <w15:docId w15:val="{C82BB900-A6CE-AE47-9D54-EB2CF092A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pPr>
      <w:ind w:left="720"/>
    </w:pPr>
  </w:style>
  <w:style w:type="paragraph" w:customStyle="1" w:styleId="Pa3">
    <w:name w:val="Pa3"/>
    <w:basedOn w:val="Normal"/>
    <w:next w:val="Normal"/>
    <w:pPr>
      <w:autoSpaceDE w:val="0"/>
      <w:spacing w:after="0" w:line="241" w:lineRule="atLeast"/>
    </w:pPr>
    <w:rPr>
      <w:rFonts w:ascii="TradeGothic" w:hAnsi="TradeGothic"/>
      <w:sz w:val="24"/>
      <w:szCs w:val="24"/>
    </w:rPr>
  </w:style>
  <w:style w:type="character" w:customStyle="1" w:styleId="A3">
    <w:name w:val="A3"/>
    <w:rPr>
      <w:rFonts w:cs="TradeGothic"/>
      <w:color w:val="000000"/>
      <w:sz w:val="22"/>
      <w:szCs w:val="22"/>
    </w:r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Strong">
    <w:name w:val="Strong"/>
    <w:basedOn w:val="DefaultParagraphFont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533</Words>
  <Characters>3039</Characters>
  <Application>Microsoft Office Word</Application>
  <DocSecurity>0</DocSecurity>
  <Lines>25</Lines>
  <Paragraphs>7</Paragraphs>
  <ScaleCrop>false</ScaleCrop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Verna Fee</dc:creator>
  <dc:description/>
  <cp:lastModifiedBy>david dove</cp:lastModifiedBy>
  <cp:revision>2</cp:revision>
  <dcterms:created xsi:type="dcterms:W3CDTF">2020-12-29T11:06:00Z</dcterms:created>
  <dcterms:modified xsi:type="dcterms:W3CDTF">2020-12-29T11:06:00Z</dcterms:modified>
</cp:coreProperties>
</file>