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95D7" w14:textId="77777777" w:rsidR="001C6991" w:rsidRDefault="001C6991">
      <w:pPr>
        <w:spacing w:line="276" w:lineRule="auto"/>
        <w:jc w:val="right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C6991" w14:paraId="0ED3A89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5125" w14:textId="77777777" w:rsidR="001C6991" w:rsidRDefault="00393396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Position Summary: Domestic Abuse</w:t>
            </w:r>
          </w:p>
          <w:p w14:paraId="235BAB9F" w14:textId="77777777" w:rsidR="001C6991" w:rsidRDefault="00393396">
            <w:pPr>
              <w:spacing w:after="0" w:line="276" w:lineRule="auto"/>
              <w:jc w:val="right"/>
              <w:rPr>
                <w:b/>
              </w:rPr>
            </w:pPr>
            <w:r>
              <w:rPr>
                <w:b/>
              </w:rPr>
              <w:t>18 June 2018</w:t>
            </w:r>
          </w:p>
        </w:tc>
      </w:tr>
      <w:tr w:rsidR="001C6991" w14:paraId="5BFF940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5FD2" w14:textId="77777777" w:rsidR="001C6991" w:rsidRDefault="00393396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What does the PCVC wish to achieve?</w:t>
            </w:r>
          </w:p>
          <w:p w14:paraId="4EC6EE61" w14:textId="77777777" w:rsidR="001C6991" w:rsidRDefault="00393396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t xml:space="preserve">Victims having the confidence to report to the police at the earliest </w:t>
            </w:r>
            <w:proofErr w:type="gramStart"/>
            <w:r>
              <w:t>point;</w:t>
            </w:r>
            <w:proofErr w:type="gramEnd"/>
          </w:p>
          <w:p w14:paraId="40B3D914" w14:textId="77777777" w:rsidR="001C6991" w:rsidRDefault="00393396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t xml:space="preserve">A reduction in the escalation of violence and abuse and the </w:t>
            </w:r>
            <w:r>
              <w:t xml:space="preserve">number of repeat victims through early intervention and awareness </w:t>
            </w:r>
            <w:proofErr w:type="gramStart"/>
            <w:r>
              <w:t>raising;</w:t>
            </w:r>
            <w:proofErr w:type="gramEnd"/>
          </w:p>
          <w:p w14:paraId="4E9BA5F0" w14:textId="77777777" w:rsidR="001C6991" w:rsidRDefault="00393396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t xml:space="preserve">A partnership approach to supporting victims and their </w:t>
            </w:r>
            <w:proofErr w:type="gramStart"/>
            <w:r>
              <w:t>families;</w:t>
            </w:r>
            <w:proofErr w:type="gramEnd"/>
          </w:p>
          <w:p w14:paraId="4439C194" w14:textId="77777777" w:rsidR="001C6991" w:rsidRDefault="00393396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t>Meaningful consequences for perpetrators.</w:t>
            </w:r>
          </w:p>
          <w:p w14:paraId="76C418FD" w14:textId="77777777" w:rsidR="001C6991" w:rsidRDefault="001C699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2"/>
                <w:szCs w:val="12"/>
              </w:rPr>
            </w:pPr>
          </w:p>
        </w:tc>
      </w:tr>
      <w:tr w:rsidR="001C6991" w14:paraId="668BDDF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C98" w14:textId="77777777" w:rsidR="001C6991" w:rsidRDefault="00393396">
            <w:pPr>
              <w:pStyle w:val="Pa3"/>
              <w:spacing w:line="276" w:lineRule="auto"/>
              <w:jc w:val="both"/>
            </w:pPr>
            <w:r>
              <w:rPr>
                <w:rStyle w:val="A3"/>
                <w:rFonts w:ascii="Calibri" w:hAnsi="Calibri"/>
                <w:sz w:val="24"/>
                <w:szCs w:val="24"/>
                <w:u w:val="single"/>
              </w:rPr>
              <w:t>Evidence Base</w:t>
            </w:r>
          </w:p>
          <w:p w14:paraId="552A5B12" w14:textId="77777777" w:rsidR="001C6991" w:rsidRDefault="00393396">
            <w:pPr>
              <w:pStyle w:val="NormalWeb"/>
              <w:spacing w:before="0" w:after="0"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Evidence from the Office of National Statistics suggests t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hat:</w:t>
            </w:r>
          </w:p>
          <w:p w14:paraId="54F49216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before="0" w:after="0"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There are an estimated 1.8 million adults aged 16 to 59 who report that they have been a victim of domestic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abuse;</w:t>
            </w:r>
            <w:proofErr w:type="gramEnd"/>
          </w:p>
          <w:p w14:paraId="459539F2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1.03 million Domestic abuse-related incidents were recorded by the police in the year ending March 2016 and following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investigations;</w:t>
            </w:r>
            <w:proofErr w:type="gramEnd"/>
          </w:p>
          <w:p w14:paraId="08DCDE98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Domestic abuse-related crimes recorded by the police account for approximately 1 in 10 of all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crimes;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 </w:t>
            </w:r>
          </w:p>
          <w:p w14:paraId="1C54335B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The majority of domestic abuse (78%) consists of violence against the person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offence;</w:t>
            </w:r>
            <w:proofErr w:type="gramEnd"/>
          </w:p>
          <w:p w14:paraId="6542DE22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Over half of unsuccessful prosecutions relating to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domestic abuse (53%) are due to either victim retraction, victim non-attendance or evidence that the victim did not support the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case;</w:t>
            </w:r>
            <w:proofErr w:type="gramEnd"/>
          </w:p>
          <w:p w14:paraId="5150A168" w14:textId="77777777" w:rsidR="001C6991" w:rsidRDefault="00393396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Victims may not want to be involved in the prosecution for a number of reasons, for example due to the level of fear and c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 xml:space="preserve">ontrol exerted by the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perpetrator;</w:t>
            </w:r>
            <w:proofErr w:type="gramEnd"/>
          </w:p>
          <w:p w14:paraId="1D4CF191" w14:textId="77777777" w:rsidR="001C6991" w:rsidRDefault="00393396">
            <w:pPr>
              <w:pStyle w:val="NormalWeb"/>
              <w:spacing w:after="0" w:line="276" w:lineRule="auto"/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"/>
              </w:rPr>
              <w:t>The National Violence against Women and Girls Strategy is clear that:</w:t>
            </w:r>
          </w:p>
          <w:p w14:paraId="2BDC18E6" w14:textId="77777777" w:rsidR="001C6991" w:rsidRDefault="00393396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>The human cost of domestic violence and abuse is high. Experiences of abuse have serious psychological, emotional and physical consequences and may con</w:t>
            </w:r>
            <w:r>
              <w:t xml:space="preserve">tribute to multiple </w:t>
            </w:r>
            <w:proofErr w:type="gramStart"/>
            <w:r>
              <w:t>disadvantage</w:t>
            </w:r>
            <w:proofErr w:type="gramEnd"/>
            <w:r>
              <w:t>, or a chaotic lifestyle involving substance misuse, homelessness, offending behaviour, gang involvement, prostitution or mental health problems;</w:t>
            </w:r>
          </w:p>
          <w:p w14:paraId="35B40580" w14:textId="77777777" w:rsidR="001C6991" w:rsidRDefault="00393396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>It is estimated that 41% of the prison population have witnessed or experience</w:t>
            </w:r>
            <w:r>
              <w:t xml:space="preserve">d domestic abuse and this is illustrative of the wider social harms these crimes </w:t>
            </w:r>
            <w:proofErr w:type="gramStart"/>
            <w:r>
              <w:t>cause;</w:t>
            </w:r>
            <w:proofErr w:type="gramEnd"/>
          </w:p>
          <w:p w14:paraId="5643C016" w14:textId="77777777" w:rsidR="001C6991" w:rsidRDefault="00393396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>While the cost to individuals cannot easily be measured, the costs of violence and abuse to the economy can be calculated and are considerable. It is estimated that pro</w:t>
            </w:r>
            <w:r>
              <w:t xml:space="preserve">viding public services to victims of domestic violence and the lost economic output of women affected costs the UK £15.8 billion annually. The cost to health, housing and social services, criminal justice and civil legal services is estimated at £3.9 </w:t>
            </w:r>
            <w:proofErr w:type="gramStart"/>
            <w:r>
              <w:t>billi</w:t>
            </w:r>
            <w:r>
              <w:t>on;</w:t>
            </w:r>
            <w:proofErr w:type="gramEnd"/>
          </w:p>
          <w:p w14:paraId="002CFBDD" w14:textId="77777777" w:rsidR="001C6991" w:rsidRDefault="00393396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>A collaborative approach to tackling this kind of violence and abuse is essential in order to make a difference.</w:t>
            </w:r>
          </w:p>
          <w:p w14:paraId="58C70807" w14:textId="77777777" w:rsidR="001C6991" w:rsidRDefault="001C6991">
            <w:pPr>
              <w:pStyle w:val="ListParagraph"/>
              <w:spacing w:after="0" w:line="276" w:lineRule="auto"/>
            </w:pPr>
          </w:p>
        </w:tc>
      </w:tr>
      <w:tr w:rsidR="001C6991" w14:paraId="7AEFF3C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4AC3" w14:textId="77777777" w:rsidR="001C6991" w:rsidRDefault="00393396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How will the PCVC’s aspirations be achieved?</w:t>
            </w:r>
          </w:p>
          <w:p w14:paraId="1173E240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Developing a Whole Systems Approach to Domestic Abuse that is based around the need to </w:t>
            </w:r>
            <w:r>
              <w:t xml:space="preserve">work in partnership to effect </w:t>
            </w:r>
            <w:proofErr w:type="gramStart"/>
            <w:r>
              <w:t>change;</w:t>
            </w:r>
            <w:proofErr w:type="gramEnd"/>
          </w:p>
          <w:p w14:paraId="25BB68B3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lastRenderedPageBreak/>
              <w:t xml:space="preserve">A Domestic Abuse Scrutiny Panel has been developed to contribute to ensuring effective quality assurance in the police </w:t>
            </w:r>
            <w:proofErr w:type="gramStart"/>
            <w:r>
              <w:t>response;</w:t>
            </w:r>
            <w:proofErr w:type="gramEnd"/>
          </w:p>
          <w:p w14:paraId="21AC5E64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Maintaining support for </w:t>
            </w:r>
            <w:proofErr w:type="gramStart"/>
            <w:r>
              <w:t>the  ‘</w:t>
            </w:r>
            <w:proofErr w:type="spellStart"/>
            <w:proofErr w:type="gramEnd"/>
            <w:r>
              <w:t>Sorry’s</w:t>
            </w:r>
            <w:proofErr w:type="spellEnd"/>
            <w:r>
              <w:t xml:space="preserve"> Not Enough’ campaign;</w:t>
            </w:r>
          </w:p>
          <w:p w14:paraId="6CADE11E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Supporting </w:t>
            </w:r>
            <w:r>
              <w:t xml:space="preserve">‘Operation Encompass’ to ensure early intervention and support for children who have witnessed domestic violence and/or </w:t>
            </w:r>
            <w:proofErr w:type="gramStart"/>
            <w:r>
              <w:t>abuse;</w:t>
            </w:r>
            <w:proofErr w:type="gramEnd"/>
          </w:p>
          <w:p w14:paraId="65A21DFA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Supporting the trialling of Checkpoint in relation to Domestic </w:t>
            </w:r>
            <w:proofErr w:type="gramStart"/>
            <w:r>
              <w:t>Abuse;</w:t>
            </w:r>
            <w:proofErr w:type="gramEnd"/>
          </w:p>
          <w:p w14:paraId="1764F72F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Participating in the development and implementation of the </w:t>
            </w:r>
            <w:r>
              <w:t xml:space="preserve">Regional Violence against Women and Girls </w:t>
            </w:r>
            <w:proofErr w:type="gramStart"/>
            <w:r>
              <w:t>Strategy;</w:t>
            </w:r>
            <w:proofErr w:type="gramEnd"/>
          </w:p>
          <w:p w14:paraId="176B871D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 xml:space="preserve">Participating in joint commissioning processes that aim to identify and address need in partnership with a range of relevant </w:t>
            </w:r>
            <w:proofErr w:type="gramStart"/>
            <w:r>
              <w:t>agencies;</w:t>
            </w:r>
            <w:proofErr w:type="gramEnd"/>
          </w:p>
          <w:p w14:paraId="132B307D" w14:textId="77777777" w:rsidR="001C6991" w:rsidRDefault="00393396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>Supporting the Young PCVC to develop a Male Victims campaign.</w:t>
            </w:r>
          </w:p>
        </w:tc>
      </w:tr>
    </w:tbl>
    <w:p w14:paraId="6268780E" w14:textId="77777777" w:rsidR="001C6991" w:rsidRDefault="001C6991">
      <w:pPr>
        <w:spacing w:line="276" w:lineRule="auto"/>
      </w:pPr>
    </w:p>
    <w:sectPr w:rsidR="001C69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2C24" w14:textId="77777777" w:rsidR="00393396" w:rsidRDefault="00393396">
      <w:pPr>
        <w:spacing w:after="0" w:line="240" w:lineRule="auto"/>
      </w:pPr>
      <w:r>
        <w:separator/>
      </w:r>
    </w:p>
  </w:endnote>
  <w:endnote w:type="continuationSeparator" w:id="0">
    <w:p w14:paraId="788D0456" w14:textId="77777777" w:rsidR="00393396" w:rsidRDefault="003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eGothic">
    <w:altName w:val="Calibri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5BC8" w14:textId="77777777" w:rsidR="002C4997" w:rsidRDefault="0039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F329" w14:textId="77777777" w:rsidR="00393396" w:rsidRDefault="003933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FE6B29" w14:textId="77777777" w:rsidR="00393396" w:rsidRDefault="003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1574" w14:textId="77777777" w:rsidR="002C4997" w:rsidRDefault="00393396">
    <w:pPr>
      <w:pStyle w:val="Header"/>
      <w:rPr>
        <w:lang w:eastAsia="en-GB"/>
      </w:rPr>
    </w:pPr>
  </w:p>
  <w:p w14:paraId="58EDDF27" w14:textId="77777777" w:rsidR="002C4997" w:rsidRDefault="003933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0971AB" wp14:editId="625A513C">
          <wp:simplePos x="0" y="0"/>
          <wp:positionH relativeFrom="column">
            <wp:posOffset>4211781</wp:posOffset>
          </wp:positionH>
          <wp:positionV relativeFrom="paragraph">
            <wp:posOffset>-353753</wp:posOffset>
          </wp:positionV>
          <wp:extent cx="1536704" cy="918213"/>
          <wp:effectExtent l="0" t="0" r="0" b="0"/>
          <wp:wrapSquare wrapText="bothSides"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4" cy="918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6DE"/>
    <w:multiLevelType w:val="multilevel"/>
    <w:tmpl w:val="005AD9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7E394D"/>
    <w:multiLevelType w:val="multilevel"/>
    <w:tmpl w:val="17D6C0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rade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3271A9"/>
    <w:multiLevelType w:val="multilevel"/>
    <w:tmpl w:val="76F03F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5F7576"/>
    <w:multiLevelType w:val="multilevel"/>
    <w:tmpl w:val="1F36C0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991"/>
    <w:rsid w:val="001C6991"/>
    <w:rsid w:val="002046E5"/>
    <w:rsid w:val="003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F99E2"/>
  <w15:docId w15:val="{3356A9FB-091A-E941-98BA-A08EABC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3">
    <w:name w:val="Pa3"/>
    <w:basedOn w:val="Normal"/>
    <w:next w:val="Normal"/>
    <w:pPr>
      <w:autoSpaceDE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3">
    <w:name w:val="A3"/>
    <w:rPr>
      <w:rFonts w:cs="TradeGothic"/>
      <w:color w:val="000000"/>
      <w:sz w:val="22"/>
      <w:szCs w:val="22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Carling</dc:creator>
  <dc:description/>
  <cp:lastModifiedBy>david dove</cp:lastModifiedBy>
  <cp:revision>2</cp:revision>
  <dcterms:created xsi:type="dcterms:W3CDTF">2021-01-27T18:16:00Z</dcterms:created>
  <dcterms:modified xsi:type="dcterms:W3CDTF">2021-01-27T18:16:00Z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simon.hahn@durham-pcc.gov.uk</vt:lpwstr>
  </property>
  <property fmtid="{D5CDD505-2E9C-101B-9397-08002B2CF9AE}" pid="5" name="MSIP_Label_8eaa0aa9-7845-4268-8f65-90cf4ea80712_SetDate">
    <vt:lpwstr>2021-01-19T13:52:25.6397997Z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1aad860b-8415-4f03-87a0-cf6b7261e522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