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16" w:type="dxa"/>
        <w:tblCellMar>
          <w:left w:w="10" w:type="dxa"/>
          <w:right w:w="10" w:type="dxa"/>
        </w:tblCellMar>
        <w:tblLook w:val="0000" w:firstRow="0" w:lastRow="0" w:firstColumn="0" w:lastColumn="0" w:noHBand="0" w:noVBand="0"/>
      </w:tblPr>
      <w:tblGrid>
        <w:gridCol w:w="9016"/>
      </w:tblGrid>
      <w:tr w:rsidR="00981EA9" w14:paraId="53F55D51" w14:textId="77777777">
        <w:tblPrEx>
          <w:tblCellMar>
            <w:top w:w="0" w:type="dxa"/>
            <w:bottom w:w="0" w:type="dxa"/>
          </w:tblCellMar>
        </w:tblPrEx>
        <w:tc>
          <w:tcPr>
            <w:tcW w:w="9016" w:type="dxa"/>
            <w:tcBorders>
              <w:bottom w:val="single" w:sz="4" w:space="0" w:color="000000"/>
            </w:tcBorders>
            <w:shd w:val="clear" w:color="auto" w:fill="auto"/>
            <w:tcMar>
              <w:top w:w="0" w:type="dxa"/>
              <w:left w:w="108" w:type="dxa"/>
              <w:bottom w:w="0" w:type="dxa"/>
              <w:right w:w="108" w:type="dxa"/>
            </w:tcMar>
          </w:tcPr>
          <w:p w14:paraId="18AE82F5" w14:textId="77777777" w:rsidR="00981EA9" w:rsidRDefault="00BE4E19">
            <w:pPr>
              <w:spacing w:after="0" w:line="240" w:lineRule="auto"/>
              <w:rPr>
                <w:rFonts w:ascii="Arial" w:eastAsia="Times New Roman" w:hAnsi="Arial" w:cs="Arial"/>
                <w:b/>
                <w:sz w:val="24"/>
                <w:szCs w:val="24"/>
              </w:rPr>
            </w:pPr>
            <w:r>
              <w:rPr>
                <w:rFonts w:ascii="Arial" w:eastAsia="Times New Roman" w:hAnsi="Arial" w:cs="Arial"/>
                <w:b/>
                <w:sz w:val="24"/>
                <w:szCs w:val="24"/>
              </w:rPr>
              <w:t>Police and Crime Panel</w:t>
            </w:r>
          </w:p>
          <w:p w14:paraId="79E2A959" w14:textId="77777777" w:rsidR="00981EA9" w:rsidRDefault="00981EA9">
            <w:pPr>
              <w:spacing w:after="0" w:line="240" w:lineRule="auto"/>
              <w:rPr>
                <w:rFonts w:ascii="Arial" w:eastAsia="Times New Roman" w:hAnsi="Arial" w:cs="Arial"/>
                <w:b/>
                <w:sz w:val="24"/>
                <w:szCs w:val="24"/>
              </w:rPr>
            </w:pPr>
          </w:p>
          <w:p w14:paraId="0787ABF4" w14:textId="77777777" w:rsidR="00981EA9" w:rsidRDefault="00BE4E19">
            <w:pPr>
              <w:spacing w:after="0" w:line="240" w:lineRule="auto"/>
            </w:pPr>
            <w:r>
              <w:rPr>
                <w:rFonts w:ascii="Arial" w:eastAsia="Times New Roman" w:hAnsi="Arial" w:cs="Arial"/>
                <w:b/>
                <w:sz w:val="24"/>
                <w:szCs w:val="24"/>
              </w:rPr>
              <w:t>12</w:t>
            </w:r>
            <w:r>
              <w:rPr>
                <w:rFonts w:ascii="Arial" w:eastAsia="Times New Roman" w:hAnsi="Arial" w:cs="Arial"/>
                <w:b/>
                <w:sz w:val="24"/>
                <w:szCs w:val="24"/>
                <w:vertAlign w:val="superscript"/>
              </w:rPr>
              <w:t>th</w:t>
            </w:r>
            <w:r>
              <w:rPr>
                <w:rFonts w:ascii="Arial" w:eastAsia="Times New Roman" w:hAnsi="Arial" w:cs="Arial"/>
                <w:b/>
                <w:sz w:val="24"/>
                <w:szCs w:val="24"/>
              </w:rPr>
              <w:t xml:space="preserve"> March 2020</w:t>
            </w:r>
          </w:p>
          <w:p w14:paraId="7ADC636A" w14:textId="77777777" w:rsidR="00981EA9" w:rsidRDefault="00981EA9">
            <w:pPr>
              <w:spacing w:after="0" w:line="240" w:lineRule="auto"/>
              <w:rPr>
                <w:rFonts w:ascii="Arial" w:eastAsia="Times New Roman" w:hAnsi="Arial" w:cs="Arial"/>
                <w:b/>
                <w:sz w:val="24"/>
                <w:szCs w:val="24"/>
              </w:rPr>
            </w:pPr>
          </w:p>
          <w:p w14:paraId="73DEC70D" w14:textId="77777777" w:rsidR="00981EA9" w:rsidRDefault="00BE4E19">
            <w:pPr>
              <w:spacing w:after="0" w:line="240" w:lineRule="auto"/>
              <w:rPr>
                <w:rFonts w:ascii="Arial" w:eastAsia="Times New Roman" w:hAnsi="Arial" w:cs="Arial"/>
                <w:b/>
                <w:sz w:val="24"/>
                <w:szCs w:val="24"/>
              </w:rPr>
            </w:pPr>
            <w:r>
              <w:rPr>
                <w:rFonts w:ascii="Arial" w:eastAsia="Times New Roman" w:hAnsi="Arial" w:cs="Arial"/>
                <w:b/>
                <w:sz w:val="24"/>
                <w:szCs w:val="24"/>
              </w:rPr>
              <w:t>Quarterly Performance Report</w:t>
            </w:r>
          </w:p>
          <w:p w14:paraId="44872D24" w14:textId="77777777" w:rsidR="00981EA9" w:rsidRDefault="00981EA9">
            <w:pPr>
              <w:spacing w:after="0" w:line="240" w:lineRule="auto"/>
              <w:rPr>
                <w:rFonts w:ascii="Arial" w:eastAsia="Times New Roman" w:hAnsi="Arial" w:cs="Arial"/>
                <w:b/>
                <w:sz w:val="24"/>
                <w:szCs w:val="24"/>
              </w:rPr>
            </w:pPr>
          </w:p>
          <w:p w14:paraId="10DB9BD1" w14:textId="77777777" w:rsidR="00981EA9" w:rsidRDefault="00BE4E19">
            <w:pPr>
              <w:spacing w:after="0" w:line="240" w:lineRule="auto"/>
            </w:pPr>
            <w:r>
              <w:rPr>
                <w:rFonts w:ascii="Arial" w:eastAsia="Times New Roman" w:hAnsi="Arial" w:cs="Arial"/>
                <w:b/>
                <w:sz w:val="24"/>
                <w:szCs w:val="24"/>
              </w:rPr>
              <w:t>Office of the Durham Police, Crime and Victims’ Commissioner</w:t>
            </w:r>
          </w:p>
        </w:tc>
      </w:tr>
    </w:tbl>
    <w:p w14:paraId="0709D5B4" w14:textId="77777777" w:rsidR="00981EA9" w:rsidRDefault="00BE4E19">
      <w:pPr>
        <w:keepNext/>
        <w:spacing w:after="0" w:line="240" w:lineRule="auto"/>
        <w:outlineLvl w:val="0"/>
      </w:pPr>
      <w:r>
        <w:rPr>
          <w:rFonts w:cs="Calibri"/>
          <w:noProof/>
          <w:lang w:eastAsia="en-GB"/>
        </w:rPr>
        <w:drawing>
          <wp:anchor distT="0" distB="0" distL="114300" distR="114300" simplePos="0" relativeHeight="251665408" behindDoc="1" locked="0" layoutInCell="1" allowOverlap="1" wp14:anchorId="05AF16BB" wp14:editId="2907B58A">
            <wp:simplePos x="0" y="0"/>
            <wp:positionH relativeFrom="column">
              <wp:posOffset>3695703</wp:posOffset>
            </wp:positionH>
            <wp:positionV relativeFrom="paragraph">
              <wp:posOffset>-1716401</wp:posOffset>
            </wp:positionV>
            <wp:extent cx="2091104" cy="1249783"/>
            <wp:effectExtent l="0" t="0" r="0" b="0"/>
            <wp:wrapNone/>
            <wp:docPr id="1"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91104" cy="1249783"/>
                    </a:xfrm>
                    <a:prstGeom prst="rect">
                      <a:avLst/>
                    </a:prstGeom>
                    <a:noFill/>
                    <a:ln>
                      <a:noFill/>
                      <a:prstDash/>
                    </a:ln>
                  </pic:spPr>
                </pic:pic>
              </a:graphicData>
            </a:graphic>
          </wp:anchor>
        </w:drawing>
      </w:r>
    </w:p>
    <w:p w14:paraId="1F5815BC" w14:textId="77777777" w:rsidR="00981EA9" w:rsidRDefault="00BE4E19">
      <w:pPr>
        <w:pStyle w:val="Heading1"/>
        <w:spacing w:after="120"/>
        <w:jc w:val="both"/>
        <w:rPr>
          <w:bCs/>
          <w:szCs w:val="24"/>
        </w:rPr>
      </w:pPr>
      <w:r>
        <w:rPr>
          <w:bCs/>
          <w:szCs w:val="24"/>
        </w:rPr>
        <w:t>Purpose</w:t>
      </w:r>
    </w:p>
    <w:p w14:paraId="1146A1BF" w14:textId="77777777" w:rsidR="00981EA9" w:rsidRDefault="00BE4E19">
      <w:pPr>
        <w:pStyle w:val="ListParagraph"/>
        <w:numPr>
          <w:ilvl w:val="0"/>
          <w:numId w:val="1"/>
        </w:numPr>
        <w:jc w:val="both"/>
        <w:rPr>
          <w:rFonts w:ascii="Arial" w:hAnsi="Arial" w:cs="Arial"/>
          <w:bCs/>
          <w:sz w:val="24"/>
          <w:szCs w:val="24"/>
        </w:rPr>
      </w:pPr>
      <w:r>
        <w:rPr>
          <w:rFonts w:ascii="Arial" w:hAnsi="Arial" w:cs="Arial"/>
          <w:bCs/>
          <w:sz w:val="24"/>
          <w:szCs w:val="24"/>
        </w:rPr>
        <w:t xml:space="preserve">To update the Panel and the public on performance against the Police, Crime and </w:t>
      </w:r>
      <w:r>
        <w:rPr>
          <w:rFonts w:ascii="Arial" w:hAnsi="Arial" w:cs="Arial"/>
          <w:bCs/>
          <w:sz w:val="24"/>
          <w:szCs w:val="24"/>
        </w:rPr>
        <w:t>Victims’ Plan 2018-2021.</w:t>
      </w:r>
    </w:p>
    <w:p w14:paraId="5DB7C4B2" w14:textId="77777777" w:rsidR="00981EA9" w:rsidRDefault="00981EA9">
      <w:pPr>
        <w:pStyle w:val="ListParagraph"/>
        <w:jc w:val="both"/>
        <w:rPr>
          <w:rFonts w:ascii="Arial" w:hAnsi="Arial" w:cs="Arial"/>
          <w:bCs/>
          <w:sz w:val="24"/>
          <w:szCs w:val="24"/>
        </w:rPr>
      </w:pPr>
    </w:p>
    <w:p w14:paraId="6E01D639" w14:textId="77777777" w:rsidR="00981EA9" w:rsidRDefault="00BE4E19">
      <w:pPr>
        <w:pStyle w:val="Heading1"/>
        <w:spacing w:after="120"/>
        <w:rPr>
          <w:szCs w:val="24"/>
        </w:rPr>
      </w:pPr>
      <w:r>
        <w:rPr>
          <w:szCs w:val="24"/>
        </w:rPr>
        <w:t>Background</w:t>
      </w:r>
    </w:p>
    <w:p w14:paraId="578448AF" w14:textId="77777777" w:rsidR="00981EA9" w:rsidRDefault="00BE4E19">
      <w:pPr>
        <w:pStyle w:val="ListParagraph"/>
        <w:numPr>
          <w:ilvl w:val="0"/>
          <w:numId w:val="1"/>
        </w:numPr>
        <w:jc w:val="both"/>
        <w:rPr>
          <w:rFonts w:ascii="Arial" w:hAnsi="Arial" w:cs="Arial"/>
          <w:sz w:val="24"/>
          <w:szCs w:val="24"/>
        </w:rPr>
      </w:pPr>
      <w:r>
        <w:rPr>
          <w:rFonts w:ascii="Arial" w:hAnsi="Arial" w:cs="Arial"/>
          <w:sz w:val="24"/>
          <w:szCs w:val="24"/>
        </w:rPr>
        <w:t>The Police, Crime and Victims’ Plan sets out the PCVC’s vision for County Durham and Darlington, the outcomes he seeks, and the Key Performance Questions (KPQs) which will help determine whether those outcomes are being</w:t>
      </w:r>
      <w:r>
        <w:rPr>
          <w:rFonts w:ascii="Arial" w:hAnsi="Arial" w:cs="Arial"/>
          <w:sz w:val="24"/>
          <w:szCs w:val="24"/>
        </w:rPr>
        <w:t xml:space="preserve"> achieved.</w:t>
      </w:r>
    </w:p>
    <w:p w14:paraId="08E544B5" w14:textId="77777777" w:rsidR="00981EA9" w:rsidRDefault="00981EA9">
      <w:pPr>
        <w:pStyle w:val="ListParagraph"/>
        <w:jc w:val="both"/>
        <w:rPr>
          <w:rFonts w:ascii="Arial" w:hAnsi="Arial" w:cs="Arial"/>
          <w:sz w:val="24"/>
          <w:szCs w:val="24"/>
        </w:rPr>
      </w:pPr>
    </w:p>
    <w:p w14:paraId="5E899324" w14:textId="77777777" w:rsidR="00981EA9" w:rsidRDefault="00BE4E19">
      <w:pPr>
        <w:pStyle w:val="ListParagraph"/>
        <w:numPr>
          <w:ilvl w:val="0"/>
          <w:numId w:val="1"/>
        </w:numPr>
        <w:jc w:val="both"/>
        <w:rPr>
          <w:rFonts w:ascii="Arial" w:hAnsi="Arial" w:cs="Arial"/>
          <w:sz w:val="24"/>
          <w:szCs w:val="24"/>
        </w:rPr>
      </w:pPr>
      <w:r>
        <w:rPr>
          <w:rFonts w:ascii="Arial" w:hAnsi="Arial" w:cs="Arial"/>
          <w:sz w:val="24"/>
          <w:szCs w:val="24"/>
        </w:rPr>
        <w:t>The last public performance report focused upon KPQs 5-8, considering questions of reoffending, rehabilitation, and confidence. These questions will be re-visited in the next quarterly performance report.</w:t>
      </w:r>
    </w:p>
    <w:p w14:paraId="5EDEBF8B" w14:textId="77777777" w:rsidR="00981EA9" w:rsidRDefault="00981EA9">
      <w:pPr>
        <w:pStyle w:val="ListParagraph"/>
        <w:rPr>
          <w:rFonts w:ascii="Arial" w:hAnsi="Arial" w:cs="Arial"/>
          <w:sz w:val="24"/>
          <w:szCs w:val="24"/>
        </w:rPr>
      </w:pPr>
    </w:p>
    <w:p w14:paraId="22670DD1" w14:textId="77777777" w:rsidR="00981EA9" w:rsidRDefault="00BE4E19">
      <w:pPr>
        <w:pStyle w:val="ListParagraph"/>
        <w:numPr>
          <w:ilvl w:val="0"/>
          <w:numId w:val="1"/>
        </w:numPr>
        <w:jc w:val="both"/>
        <w:rPr>
          <w:rFonts w:ascii="Arial" w:hAnsi="Arial" w:cs="Arial"/>
          <w:sz w:val="24"/>
          <w:szCs w:val="24"/>
        </w:rPr>
      </w:pPr>
      <w:r>
        <w:rPr>
          <w:rFonts w:ascii="Arial" w:hAnsi="Arial" w:cs="Arial"/>
          <w:sz w:val="24"/>
          <w:szCs w:val="24"/>
        </w:rPr>
        <w:t xml:space="preserve">This report considers KPQs 1-4, </w:t>
      </w:r>
      <w:r>
        <w:rPr>
          <w:rFonts w:ascii="Arial" w:hAnsi="Arial" w:cs="Arial"/>
          <w:sz w:val="24"/>
          <w:szCs w:val="24"/>
        </w:rPr>
        <w:t>looking at questions in relation to the safety of our communities, crime levels, and support for victims and the vulnerable.</w:t>
      </w:r>
    </w:p>
    <w:p w14:paraId="6689C7FE" w14:textId="77777777" w:rsidR="00981EA9" w:rsidRDefault="00BE4E19">
      <w:pPr>
        <w:jc w:val="center"/>
      </w:pPr>
      <w:r>
        <w:rPr>
          <w:rFonts w:ascii="Arial" w:hAnsi="Arial" w:cs="Arial"/>
          <w:noProof/>
          <w:sz w:val="24"/>
          <w:szCs w:val="24"/>
          <w:lang w:eastAsia="en-GB"/>
        </w:rPr>
        <w:drawing>
          <wp:inline distT="0" distB="0" distL="0" distR="0" wp14:anchorId="27CC2C0D" wp14:editId="5EC2BC0C">
            <wp:extent cx="5363413" cy="2234857"/>
            <wp:effectExtent l="0" t="0" r="0" b="343"/>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63413" cy="2234857"/>
                    </a:xfrm>
                    <a:prstGeom prst="rect">
                      <a:avLst/>
                    </a:prstGeom>
                    <a:noFill/>
                    <a:ln>
                      <a:noFill/>
                      <a:prstDash/>
                    </a:ln>
                  </pic:spPr>
                </pic:pic>
              </a:graphicData>
            </a:graphic>
          </wp:inline>
        </w:drawing>
      </w:r>
    </w:p>
    <w:p w14:paraId="4ECA3689"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1: Police Crime and Victims’ Plan Outcomes and KPQs</w:t>
      </w:r>
    </w:p>
    <w:p w14:paraId="3E9B08C0" w14:textId="77777777" w:rsidR="00981EA9" w:rsidRDefault="00BE4E19">
      <w:pPr>
        <w:pStyle w:val="Heading1"/>
        <w:rPr>
          <w:szCs w:val="24"/>
        </w:rPr>
      </w:pPr>
      <w:r>
        <w:rPr>
          <w:szCs w:val="24"/>
        </w:rPr>
        <w:t>Outcome 1 – Communities are safe and crime is reduced</w:t>
      </w:r>
    </w:p>
    <w:p w14:paraId="5CAB8591" w14:textId="77777777" w:rsidR="00981EA9" w:rsidRDefault="00BE4E19">
      <w:pPr>
        <w:jc w:val="both"/>
        <w:rPr>
          <w:rFonts w:ascii="Arial" w:hAnsi="Arial" w:cs="Arial"/>
          <w:sz w:val="24"/>
          <w:szCs w:val="24"/>
          <w:u w:val="single"/>
        </w:rPr>
      </w:pPr>
      <w:r>
        <w:rPr>
          <w:rFonts w:ascii="Arial" w:hAnsi="Arial" w:cs="Arial"/>
          <w:sz w:val="24"/>
          <w:szCs w:val="24"/>
          <w:u w:val="single"/>
        </w:rPr>
        <w:t>KPQ1: How safe a</w:t>
      </w:r>
      <w:r>
        <w:rPr>
          <w:rFonts w:ascii="Arial" w:hAnsi="Arial" w:cs="Arial"/>
          <w:sz w:val="24"/>
          <w:szCs w:val="24"/>
          <w:u w:val="single"/>
        </w:rPr>
        <w:t>re our communities?</w:t>
      </w:r>
    </w:p>
    <w:p w14:paraId="3B2FE105"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At its heart, keeping communities safe is part of the essence of policing. And, that our communities are safe, and feel safe, is important.</w:t>
      </w:r>
    </w:p>
    <w:p w14:paraId="36D85263" w14:textId="77777777" w:rsidR="00981EA9" w:rsidRDefault="00981EA9">
      <w:pPr>
        <w:pStyle w:val="ListParagraph"/>
        <w:jc w:val="both"/>
        <w:rPr>
          <w:rFonts w:ascii="Arial" w:eastAsia="Times New Roman" w:hAnsi="Arial" w:cs="Arial"/>
          <w:sz w:val="24"/>
          <w:szCs w:val="24"/>
        </w:rPr>
      </w:pPr>
    </w:p>
    <w:p w14:paraId="23DD641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lastRenderedPageBreak/>
        <w:t xml:space="preserve">And, while policing is importantly connected to community safety, it still takes a wider </w:t>
      </w:r>
      <w:r>
        <w:rPr>
          <w:rFonts w:ascii="Arial" w:eastAsia="Times New Roman" w:hAnsi="Arial" w:cs="Arial"/>
          <w:sz w:val="24"/>
          <w:szCs w:val="24"/>
        </w:rPr>
        <w:t>range of organisations across the public and voluntary sectors working together, and working with local people in all areas, urban and rural alike, to keep where we all live safe.</w:t>
      </w:r>
    </w:p>
    <w:p w14:paraId="7F550B02" w14:textId="77777777" w:rsidR="00981EA9" w:rsidRDefault="00981EA9">
      <w:pPr>
        <w:pStyle w:val="ListParagraph"/>
        <w:rPr>
          <w:rFonts w:ascii="Arial" w:eastAsia="Times New Roman" w:hAnsi="Arial" w:cs="Arial"/>
          <w:sz w:val="24"/>
          <w:szCs w:val="24"/>
        </w:rPr>
      </w:pPr>
    </w:p>
    <w:p w14:paraId="7C945152"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Accordingly, community safety is a broad topic to consider, so – in the int</w:t>
      </w:r>
      <w:r>
        <w:rPr>
          <w:rFonts w:ascii="Arial" w:eastAsia="Times New Roman" w:hAnsi="Arial" w:cs="Arial"/>
          <w:sz w:val="24"/>
          <w:szCs w:val="24"/>
        </w:rPr>
        <w:t>erests of length and accessibility – this report remains focused on some top level information and indicators.</w:t>
      </w:r>
    </w:p>
    <w:p w14:paraId="6100B1E5" w14:textId="77777777" w:rsidR="00981EA9" w:rsidRDefault="00981EA9">
      <w:pPr>
        <w:pStyle w:val="ListParagraph"/>
        <w:jc w:val="both"/>
        <w:rPr>
          <w:rFonts w:ascii="Arial" w:eastAsia="Times New Roman" w:hAnsi="Arial" w:cs="Arial"/>
          <w:sz w:val="24"/>
          <w:szCs w:val="24"/>
        </w:rPr>
      </w:pPr>
    </w:p>
    <w:p w14:paraId="72B588D0"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Firstly, the Crime Severity Score is a measure where sentencing information is used to ‘weight’ the severity of offences. Such a statistic is he</w:t>
      </w:r>
      <w:r>
        <w:rPr>
          <w:rFonts w:ascii="Arial" w:eastAsia="Times New Roman" w:hAnsi="Arial" w:cs="Arial"/>
          <w:sz w:val="24"/>
          <w:szCs w:val="24"/>
        </w:rPr>
        <w:t>lpful when changes to recording practices for crime can significantly have an effect upon police recorded offences. Another benefit is that it allows for easy comparison between Durham and the rest of England and Wales in a more meaningful way than perhaps</w:t>
      </w:r>
      <w:r>
        <w:rPr>
          <w:rFonts w:ascii="Arial" w:eastAsia="Times New Roman" w:hAnsi="Arial" w:cs="Arial"/>
          <w:sz w:val="24"/>
          <w:szCs w:val="24"/>
        </w:rPr>
        <w:t xml:space="preserve"> recorded crime. Of course, such an indicator is limited by the extent to which sentencing guidelines reflect the severity of an offence. Similarly, over time this indicator can still be affected by changes to crime recording practices.</w:t>
      </w:r>
    </w:p>
    <w:p w14:paraId="394E7F9C" w14:textId="77777777" w:rsidR="00981EA9" w:rsidRDefault="00981EA9">
      <w:pPr>
        <w:pStyle w:val="ListParagraph"/>
        <w:rPr>
          <w:rFonts w:ascii="Arial" w:eastAsia="Times New Roman" w:hAnsi="Arial" w:cs="Arial"/>
          <w:sz w:val="24"/>
          <w:szCs w:val="24"/>
        </w:rPr>
      </w:pPr>
    </w:p>
    <w:p w14:paraId="13825AD1" w14:textId="77777777" w:rsidR="00981EA9" w:rsidRDefault="00BE4E19">
      <w:pPr>
        <w:jc w:val="center"/>
      </w:pPr>
      <w:r>
        <w:rPr>
          <w:rFonts w:ascii="Arial" w:eastAsia="Times New Roman" w:hAnsi="Arial" w:cs="Arial"/>
          <w:noProof/>
          <w:sz w:val="24"/>
          <w:szCs w:val="24"/>
          <w:lang w:eastAsia="en-GB"/>
        </w:rPr>
        <w:drawing>
          <wp:inline distT="0" distB="0" distL="0" distR="0" wp14:anchorId="6FB50394" wp14:editId="0E574233">
            <wp:extent cx="5486400" cy="3255007"/>
            <wp:effectExtent l="0" t="0" r="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E2C0EC" w14:textId="77777777" w:rsidR="00981EA9" w:rsidRDefault="00BE4E19">
      <w:pPr>
        <w:rPr>
          <w:rFonts w:ascii="Arial" w:eastAsia="Times New Roman" w:hAnsi="Arial" w:cs="Arial"/>
          <w:i/>
          <w:sz w:val="24"/>
          <w:szCs w:val="24"/>
        </w:rPr>
      </w:pPr>
      <w:r>
        <w:rPr>
          <w:rFonts w:ascii="Arial" w:eastAsia="Times New Roman" w:hAnsi="Arial" w:cs="Arial"/>
          <w:i/>
          <w:sz w:val="24"/>
          <w:szCs w:val="24"/>
        </w:rPr>
        <w:t xml:space="preserve">Figure 2: Crime </w:t>
      </w:r>
      <w:r>
        <w:rPr>
          <w:rFonts w:ascii="Arial" w:eastAsia="Times New Roman" w:hAnsi="Arial" w:cs="Arial"/>
          <w:i/>
          <w:sz w:val="24"/>
          <w:szCs w:val="24"/>
        </w:rPr>
        <w:t>Severity Score (Year Ending March 2019, Office for National Statistics)</w:t>
      </w:r>
    </w:p>
    <w:p w14:paraId="380FCBAB" w14:textId="77777777" w:rsidR="00981EA9" w:rsidRDefault="00981EA9">
      <w:pPr>
        <w:rPr>
          <w:rFonts w:ascii="Arial" w:eastAsia="Times New Roman" w:hAnsi="Arial" w:cs="Arial"/>
          <w:i/>
          <w:sz w:val="24"/>
          <w:szCs w:val="24"/>
        </w:rPr>
      </w:pPr>
    </w:p>
    <w:p w14:paraId="51051FDC"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Crime Severity Score shows broadly similar results between Durham and England and Wales.</w:t>
      </w:r>
    </w:p>
    <w:p w14:paraId="4CA4125D" w14:textId="77777777" w:rsidR="00981EA9" w:rsidRDefault="00981EA9">
      <w:pPr>
        <w:pStyle w:val="ListParagraph"/>
        <w:rPr>
          <w:rFonts w:ascii="Arial" w:eastAsia="Times New Roman" w:hAnsi="Arial" w:cs="Arial"/>
          <w:sz w:val="24"/>
          <w:szCs w:val="24"/>
        </w:rPr>
      </w:pPr>
    </w:p>
    <w:p w14:paraId="4D6152A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lastRenderedPageBreak/>
        <w:t>In a similar way to the Crime Severity Score, looking at the offence rate per 1000 popula</w:t>
      </w:r>
      <w:r>
        <w:rPr>
          <w:rFonts w:ascii="Arial" w:eastAsia="Times New Roman" w:hAnsi="Arial" w:cs="Arial"/>
          <w:sz w:val="24"/>
          <w:szCs w:val="24"/>
        </w:rPr>
        <w:t>tion has benefit in allowing easy comparison with England and Wales.</w:t>
      </w:r>
    </w:p>
    <w:p w14:paraId="29AC947B" w14:textId="77777777" w:rsidR="00981EA9" w:rsidRDefault="00981EA9">
      <w:pPr>
        <w:jc w:val="center"/>
        <w:rPr>
          <w:rFonts w:ascii="Arial" w:eastAsia="Times New Roman" w:hAnsi="Arial" w:cs="Arial"/>
          <w:sz w:val="24"/>
          <w:szCs w:val="24"/>
        </w:rPr>
      </w:pPr>
    </w:p>
    <w:p w14:paraId="5CC8F4EB" w14:textId="77777777" w:rsidR="00981EA9" w:rsidRDefault="00BE4E19">
      <w:pPr>
        <w:jc w:val="center"/>
      </w:pPr>
      <w:r>
        <w:rPr>
          <w:rFonts w:ascii="Arial" w:eastAsia="Times New Roman" w:hAnsi="Arial" w:cs="Arial"/>
          <w:noProof/>
          <w:sz w:val="24"/>
          <w:szCs w:val="24"/>
          <w:lang w:eastAsia="en-GB"/>
        </w:rPr>
        <w:drawing>
          <wp:inline distT="0" distB="0" distL="0" distR="0" wp14:anchorId="449354B3" wp14:editId="63253D61">
            <wp:extent cx="5486400" cy="3200400"/>
            <wp:effectExtent l="0" t="0" r="0" b="0"/>
            <wp:docPr id="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68CB17"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3: Offence Rate per 1000 Population (Year Ending March 2019, Office for National Statistics)</w:t>
      </w:r>
    </w:p>
    <w:p w14:paraId="6344048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The police recorded rate per 1000 population is higher for Durham than it is for </w:t>
      </w:r>
      <w:r>
        <w:rPr>
          <w:rFonts w:ascii="Arial" w:eastAsia="Times New Roman" w:hAnsi="Arial" w:cs="Arial"/>
          <w:sz w:val="24"/>
          <w:szCs w:val="24"/>
        </w:rPr>
        <w:t>the England and Wales average. A key reason for this is that Durham Constabulary is one of the most compliant forces for recording offences. Also, the North East region has higher levels of recorded Criminal Damage and Arson.</w:t>
      </w:r>
    </w:p>
    <w:p w14:paraId="436E7A59" w14:textId="77777777" w:rsidR="00981EA9" w:rsidRDefault="00981EA9">
      <w:pPr>
        <w:pStyle w:val="ListParagraph"/>
        <w:ind w:left="360"/>
        <w:jc w:val="both"/>
        <w:rPr>
          <w:rFonts w:ascii="Arial" w:eastAsia="Times New Roman" w:hAnsi="Arial" w:cs="Arial"/>
          <w:sz w:val="24"/>
          <w:szCs w:val="24"/>
        </w:rPr>
      </w:pPr>
    </w:p>
    <w:p w14:paraId="005870DE" w14:textId="77777777" w:rsidR="00981EA9" w:rsidRDefault="00BE4E19">
      <w:pPr>
        <w:pStyle w:val="ListParagraph"/>
        <w:numPr>
          <w:ilvl w:val="0"/>
          <w:numId w:val="1"/>
        </w:numPr>
        <w:jc w:val="both"/>
      </w:pPr>
      <w:r>
        <w:rPr>
          <w:rFonts w:ascii="Arial" w:eastAsia="Times New Roman" w:hAnsi="Arial" w:cs="Arial"/>
          <w:sz w:val="24"/>
          <w:szCs w:val="24"/>
        </w:rPr>
        <w:t xml:space="preserve">Total volume of crime across </w:t>
      </w:r>
      <w:r>
        <w:rPr>
          <w:rFonts w:ascii="Arial" w:eastAsia="Times New Roman" w:hAnsi="Arial" w:cs="Arial"/>
          <w:sz w:val="24"/>
          <w:szCs w:val="24"/>
        </w:rPr>
        <w:t xml:space="preserve">Durham Constabulary has remained fairly steady over the past twelve months. </w:t>
      </w:r>
    </w:p>
    <w:p w14:paraId="5BEEA187" w14:textId="77777777" w:rsidR="00981EA9" w:rsidRDefault="00981EA9">
      <w:pPr>
        <w:pStyle w:val="ListParagraph"/>
        <w:ind w:left="360"/>
        <w:jc w:val="both"/>
        <w:rPr>
          <w:rFonts w:ascii="Arial" w:eastAsia="Times New Roman" w:hAnsi="Arial" w:cs="Arial"/>
          <w:sz w:val="24"/>
          <w:szCs w:val="24"/>
        </w:rPr>
      </w:pPr>
    </w:p>
    <w:p w14:paraId="6CB7B0AD"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general performance of Durham Constabulary’s Crime Severity score may be measured in an equally effective manner, through comparison with the Constabulary’s Most Similar Grou</w:t>
      </w:r>
      <w:r>
        <w:rPr>
          <w:rFonts w:ascii="Arial" w:eastAsia="Times New Roman" w:hAnsi="Arial" w:cs="Arial"/>
          <w:sz w:val="24"/>
          <w:szCs w:val="24"/>
        </w:rPr>
        <w:t xml:space="preserve">p (MSG) of forces. This shows that Durham has a lower crime severity score than most of others in the MSG.  </w:t>
      </w:r>
    </w:p>
    <w:p w14:paraId="5E01D601" w14:textId="77777777" w:rsidR="00981EA9" w:rsidRDefault="00981EA9">
      <w:pPr>
        <w:pStyle w:val="ListParagraph"/>
        <w:rPr>
          <w:rFonts w:ascii="Arial" w:eastAsia="Times New Roman" w:hAnsi="Arial" w:cs="Arial"/>
          <w:sz w:val="24"/>
          <w:szCs w:val="24"/>
        </w:rPr>
      </w:pPr>
    </w:p>
    <w:p w14:paraId="077BD9A1" w14:textId="77777777" w:rsidR="00981EA9" w:rsidRDefault="00981EA9">
      <w:pPr>
        <w:pStyle w:val="ListParagraph"/>
        <w:ind w:left="360"/>
        <w:jc w:val="both"/>
        <w:rPr>
          <w:rFonts w:ascii="Arial" w:eastAsia="Times New Roman" w:hAnsi="Arial" w:cs="Arial"/>
          <w:sz w:val="24"/>
          <w:szCs w:val="24"/>
        </w:rPr>
      </w:pPr>
    </w:p>
    <w:p w14:paraId="3558B33B" w14:textId="77777777" w:rsidR="00981EA9" w:rsidRDefault="00981EA9">
      <w:pPr>
        <w:pStyle w:val="ListParagraph"/>
        <w:ind w:left="360"/>
        <w:jc w:val="both"/>
        <w:rPr>
          <w:rFonts w:ascii="Arial" w:eastAsia="Times New Roman" w:hAnsi="Arial" w:cs="Arial"/>
          <w:sz w:val="24"/>
          <w:szCs w:val="24"/>
        </w:rPr>
      </w:pPr>
    </w:p>
    <w:p w14:paraId="26E0ABB0" w14:textId="77777777" w:rsidR="00981EA9" w:rsidRDefault="00BE4E19">
      <w:pPr>
        <w:pStyle w:val="ListParagraph"/>
        <w:ind w:left="360"/>
        <w:jc w:val="both"/>
      </w:pPr>
      <w:r>
        <w:rPr>
          <w:rFonts w:ascii="Arial" w:eastAsia="Times New Roman" w:hAnsi="Arial" w:cs="Arial"/>
          <w:noProof/>
          <w:sz w:val="24"/>
          <w:szCs w:val="24"/>
          <w:lang w:eastAsia="en-GB"/>
        </w:rPr>
        <w:lastRenderedPageBreak/>
        <w:drawing>
          <wp:inline distT="0" distB="0" distL="0" distR="0" wp14:anchorId="26B090BA" wp14:editId="5EACE4EB">
            <wp:extent cx="5486400" cy="3200400"/>
            <wp:effectExtent l="0" t="0" r="0" b="0"/>
            <wp:docPr id="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273CD5"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4: Crime Severity Score of MSG’s (Year Ending March 2019, Office for National Statistics)</w:t>
      </w:r>
    </w:p>
    <w:p w14:paraId="40556C34" w14:textId="77777777" w:rsidR="00981EA9" w:rsidRDefault="00981EA9">
      <w:pPr>
        <w:jc w:val="both"/>
        <w:rPr>
          <w:rFonts w:ascii="Arial" w:eastAsia="Times New Roman" w:hAnsi="Arial" w:cs="Arial"/>
          <w:sz w:val="24"/>
          <w:szCs w:val="24"/>
        </w:rPr>
      </w:pPr>
    </w:p>
    <w:p w14:paraId="2824E2E8"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Moving slightly away from these top </w:t>
      </w:r>
      <w:r>
        <w:rPr>
          <w:rFonts w:ascii="Arial" w:eastAsia="Times New Roman" w:hAnsi="Arial" w:cs="Arial"/>
          <w:sz w:val="24"/>
          <w:szCs w:val="24"/>
        </w:rPr>
        <w:t>level indicators, it is important – and pertinent to community safety – that when people require a police response, they are confident that officers will arrive when they need them.</w:t>
      </w:r>
    </w:p>
    <w:p w14:paraId="2A2193DB" w14:textId="77777777" w:rsidR="00981EA9" w:rsidRDefault="00981EA9">
      <w:pPr>
        <w:pStyle w:val="ListParagraph"/>
        <w:rPr>
          <w:rFonts w:ascii="Arial" w:eastAsia="Times New Roman" w:hAnsi="Arial" w:cs="Arial"/>
          <w:sz w:val="24"/>
          <w:szCs w:val="24"/>
        </w:rPr>
      </w:pPr>
    </w:p>
    <w:p w14:paraId="65320D8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The graph below therefore shows the percentage of victims satisfied with </w:t>
      </w:r>
      <w:r>
        <w:rPr>
          <w:rFonts w:ascii="Arial" w:eastAsia="Times New Roman" w:hAnsi="Arial" w:cs="Arial"/>
          <w:sz w:val="24"/>
          <w:szCs w:val="24"/>
        </w:rPr>
        <w:t>arrival time.</w:t>
      </w:r>
    </w:p>
    <w:p w14:paraId="4C3DCD22" w14:textId="77777777" w:rsidR="00981EA9" w:rsidRDefault="00981EA9">
      <w:pPr>
        <w:pStyle w:val="ListParagraph"/>
        <w:rPr>
          <w:rFonts w:ascii="Arial" w:eastAsia="Times New Roman" w:hAnsi="Arial" w:cs="Arial"/>
          <w:sz w:val="24"/>
          <w:szCs w:val="24"/>
        </w:rPr>
      </w:pPr>
    </w:p>
    <w:p w14:paraId="79F36A10" w14:textId="77777777" w:rsidR="00981EA9" w:rsidRDefault="00BE4E19">
      <w:pPr>
        <w:pStyle w:val="ListParagraph"/>
        <w:ind w:left="360"/>
        <w:jc w:val="both"/>
      </w:pPr>
      <w:r>
        <w:rPr>
          <w:rFonts w:ascii="Arial" w:hAnsi="Arial" w:cs="Arial"/>
          <w:noProof/>
          <w:sz w:val="24"/>
          <w:szCs w:val="24"/>
          <w:lang w:eastAsia="en-GB"/>
        </w:rPr>
        <w:drawing>
          <wp:inline distT="0" distB="0" distL="0" distR="0" wp14:anchorId="29D6F1CD" wp14:editId="36070490">
            <wp:extent cx="5731514" cy="2762246"/>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38EA6B" w14:textId="77777777" w:rsidR="00981EA9" w:rsidRDefault="00981EA9">
      <w:pPr>
        <w:jc w:val="center"/>
        <w:rPr>
          <w:rFonts w:ascii="Arial" w:eastAsia="Times New Roman" w:hAnsi="Arial" w:cs="Arial"/>
          <w:sz w:val="24"/>
          <w:szCs w:val="24"/>
        </w:rPr>
      </w:pPr>
    </w:p>
    <w:p w14:paraId="4485AF10" w14:textId="77777777" w:rsidR="00981EA9" w:rsidRDefault="00981EA9">
      <w:pPr>
        <w:jc w:val="center"/>
        <w:rPr>
          <w:rFonts w:ascii="Arial" w:eastAsia="Times New Roman" w:hAnsi="Arial" w:cs="Arial"/>
          <w:sz w:val="24"/>
          <w:szCs w:val="24"/>
        </w:rPr>
      </w:pPr>
    </w:p>
    <w:p w14:paraId="5799C863"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5: Percentage Satisfied with Arrival Time (All Crime)</w:t>
      </w:r>
    </w:p>
    <w:p w14:paraId="41A9540F"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Moving on, police recorded Anti-Social Behaviour (ASB) incidents are at broadly similar levels to what they have been over the past three years. There has of course been fluctu</w:t>
      </w:r>
      <w:r>
        <w:rPr>
          <w:rFonts w:ascii="Arial" w:eastAsia="Times New Roman" w:hAnsi="Arial" w:cs="Arial"/>
          <w:sz w:val="24"/>
          <w:szCs w:val="24"/>
        </w:rPr>
        <w:t xml:space="preserve">ation within specific ASB categories. Reasons for this include changes to crime recording, where some incidents formerly recorded as an ASB incident now of necessity may be recorded as a crime – for example, harassment. </w:t>
      </w:r>
    </w:p>
    <w:p w14:paraId="180A91FA" w14:textId="77777777" w:rsidR="00981EA9" w:rsidRDefault="00981EA9">
      <w:pPr>
        <w:pStyle w:val="ListParagraph"/>
        <w:ind w:left="360"/>
        <w:jc w:val="both"/>
        <w:rPr>
          <w:rFonts w:ascii="Arial" w:eastAsia="Times New Roman" w:hAnsi="Arial" w:cs="Arial"/>
          <w:sz w:val="24"/>
          <w:szCs w:val="24"/>
        </w:rPr>
      </w:pPr>
    </w:p>
    <w:p w14:paraId="688EE515"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proportion of all incidents th</w:t>
      </w:r>
      <w:r>
        <w:rPr>
          <w:rFonts w:ascii="Arial" w:eastAsia="Times New Roman" w:hAnsi="Arial" w:cs="Arial"/>
          <w:sz w:val="24"/>
          <w:szCs w:val="24"/>
        </w:rPr>
        <w:t>at have an ASB qualifier has risen from 8.9% (period November 2018- January 2019) to 10.58% (period November 2019- January 2020).</w:t>
      </w:r>
    </w:p>
    <w:p w14:paraId="4CF7387C" w14:textId="77777777" w:rsidR="00981EA9" w:rsidRDefault="00981EA9">
      <w:pPr>
        <w:pStyle w:val="ListParagraph"/>
        <w:ind w:left="360"/>
        <w:jc w:val="both"/>
        <w:rPr>
          <w:rFonts w:ascii="Arial" w:eastAsia="Times New Roman" w:hAnsi="Arial" w:cs="Arial"/>
          <w:sz w:val="24"/>
          <w:szCs w:val="24"/>
        </w:rPr>
      </w:pPr>
    </w:p>
    <w:p w14:paraId="433ECF6E"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Additionally, ASB incident levels have risen above those of this time last year, but almost identical to 2017/ 18. It is wort</w:t>
      </w:r>
      <w:r>
        <w:rPr>
          <w:rFonts w:ascii="Arial" w:eastAsia="Times New Roman" w:hAnsi="Arial" w:cs="Arial"/>
          <w:sz w:val="24"/>
          <w:szCs w:val="24"/>
        </w:rPr>
        <w:t>h noting that summer spikes in ASB recorded incidents are typical in the statistical trend.</w:t>
      </w:r>
    </w:p>
    <w:p w14:paraId="5BA87564" w14:textId="77777777" w:rsidR="00981EA9" w:rsidRDefault="00981EA9">
      <w:pPr>
        <w:jc w:val="center"/>
        <w:rPr>
          <w:rFonts w:ascii="Arial" w:eastAsia="Times New Roman" w:hAnsi="Arial" w:cs="Arial"/>
          <w:sz w:val="24"/>
          <w:szCs w:val="24"/>
        </w:rPr>
      </w:pPr>
    </w:p>
    <w:p w14:paraId="68AC73A3" w14:textId="77777777" w:rsidR="00981EA9" w:rsidRDefault="00BE4E19">
      <w:pPr>
        <w:jc w:val="center"/>
      </w:pPr>
      <w:r>
        <w:rPr>
          <w:rFonts w:ascii="Arial" w:hAnsi="Arial" w:cs="Arial"/>
          <w:noProof/>
          <w:sz w:val="24"/>
          <w:szCs w:val="24"/>
          <w:lang w:eastAsia="en-GB"/>
        </w:rPr>
        <w:drawing>
          <wp:inline distT="0" distB="0" distL="0" distR="0" wp14:anchorId="4646DFE7" wp14:editId="280887B9">
            <wp:extent cx="5731514" cy="3676016"/>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DD2D26"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6: Police Recorded Anti-Social Behaviour Incidents</w:t>
      </w:r>
    </w:p>
    <w:p w14:paraId="5219EB1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In terms of road safety, improving this is a priority for the PCVC – and the number of people killed or</w:t>
      </w:r>
      <w:r>
        <w:rPr>
          <w:rFonts w:ascii="Arial" w:eastAsia="Times New Roman" w:hAnsi="Arial" w:cs="Arial"/>
          <w:sz w:val="24"/>
          <w:szCs w:val="24"/>
        </w:rPr>
        <w:t xml:space="preserve"> seriously injured on our roads can be an important indicator in helping to answer KPQ1.</w:t>
      </w:r>
    </w:p>
    <w:p w14:paraId="475C947E" w14:textId="77777777" w:rsidR="00981EA9" w:rsidRDefault="00981EA9">
      <w:pPr>
        <w:pStyle w:val="ListParagraph"/>
        <w:rPr>
          <w:rFonts w:ascii="Arial" w:eastAsia="Times New Roman" w:hAnsi="Arial" w:cs="Arial"/>
          <w:sz w:val="24"/>
          <w:szCs w:val="24"/>
        </w:rPr>
      </w:pPr>
    </w:p>
    <w:p w14:paraId="45B9760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lastRenderedPageBreak/>
        <w:t>Thus, the two graphs below (taken from the North East Regional Road Safety Resource) show the number of fatal and seriously injured casualties for Durham’s force area</w:t>
      </w:r>
      <w:r>
        <w:rPr>
          <w:rFonts w:ascii="Arial" w:eastAsia="Times New Roman" w:hAnsi="Arial" w:cs="Arial"/>
          <w:sz w:val="24"/>
          <w:szCs w:val="24"/>
        </w:rPr>
        <w:t>. The number of these casualties fell in 2018 compared with 2017 and 2019.</w:t>
      </w:r>
    </w:p>
    <w:p w14:paraId="76F18C42" w14:textId="77777777" w:rsidR="00981EA9" w:rsidRDefault="00981EA9">
      <w:pPr>
        <w:pStyle w:val="ListParagraph"/>
        <w:rPr>
          <w:rFonts w:ascii="Arial" w:eastAsia="Times New Roman" w:hAnsi="Arial" w:cs="Arial"/>
          <w:sz w:val="24"/>
          <w:szCs w:val="24"/>
        </w:rPr>
      </w:pPr>
    </w:p>
    <w:p w14:paraId="2B9EB62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While it appears to be a significant fatality spike, in reality 2019 only saw a return to the typical fatality road user levels. However, this does not change the fact that one fat</w:t>
      </w:r>
      <w:r>
        <w:rPr>
          <w:rFonts w:ascii="Arial" w:eastAsia="Times New Roman" w:hAnsi="Arial" w:cs="Arial"/>
          <w:sz w:val="24"/>
          <w:szCs w:val="24"/>
        </w:rPr>
        <w:t xml:space="preserve">ality is still too many. </w:t>
      </w:r>
    </w:p>
    <w:p w14:paraId="02BE47CB" w14:textId="77777777" w:rsidR="00981EA9" w:rsidRDefault="00981EA9">
      <w:pPr>
        <w:pStyle w:val="ListParagraph"/>
        <w:rPr>
          <w:rFonts w:ascii="Arial" w:eastAsia="Times New Roman" w:hAnsi="Arial" w:cs="Arial"/>
          <w:sz w:val="24"/>
          <w:szCs w:val="24"/>
        </w:rPr>
      </w:pPr>
    </w:p>
    <w:p w14:paraId="58D4D983"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There has however been a downward trend over the past fifteen years. Explaining why the number of fatalities may have fallen is challenging given the number of factors that influence an accident, and it is worth noting that the d</w:t>
      </w:r>
      <w:r>
        <w:rPr>
          <w:rFonts w:ascii="Arial" w:eastAsia="Times New Roman" w:hAnsi="Arial" w:cs="Arial"/>
          <w:sz w:val="24"/>
          <w:szCs w:val="24"/>
        </w:rPr>
        <w:t xml:space="preserve">ownward trend in fatal casualty figures accelerated once Durham Constabulary changed their recording method to Collision Recording and Sharing (CRASH) in March 2016. </w:t>
      </w:r>
    </w:p>
    <w:p w14:paraId="78A95B38" w14:textId="77777777" w:rsidR="00981EA9" w:rsidRDefault="00981EA9">
      <w:pPr>
        <w:pStyle w:val="ListParagraph"/>
        <w:rPr>
          <w:rFonts w:ascii="Arial" w:eastAsia="Times New Roman" w:hAnsi="Arial" w:cs="Arial"/>
          <w:sz w:val="24"/>
          <w:szCs w:val="24"/>
        </w:rPr>
      </w:pPr>
    </w:p>
    <w:p w14:paraId="141D6204" w14:textId="77777777" w:rsidR="00981EA9" w:rsidRDefault="00BE4E19">
      <w:pPr>
        <w:jc w:val="both"/>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6A4B7FC6" wp14:editId="6D71B847">
                <wp:simplePos x="0" y="0"/>
                <wp:positionH relativeFrom="column">
                  <wp:posOffset>5048246</wp:posOffset>
                </wp:positionH>
                <wp:positionV relativeFrom="paragraph">
                  <wp:posOffset>21588</wp:posOffset>
                </wp:positionV>
                <wp:extent cx="311152" cy="234945"/>
                <wp:effectExtent l="0" t="0" r="6348" b="0"/>
                <wp:wrapNone/>
                <wp:docPr id="8" name="Rectangle 16"/>
                <wp:cNvGraphicFramePr/>
                <a:graphic xmlns:a="http://schemas.openxmlformats.org/drawingml/2006/main">
                  <a:graphicData uri="http://schemas.microsoft.com/office/word/2010/wordprocessingShape">
                    <wps:wsp>
                      <wps:cNvSpPr/>
                      <wps:spPr>
                        <a:xfrm>
                          <a:off x="0" y="0"/>
                          <a:ext cx="311152" cy="234945"/>
                        </a:xfrm>
                        <a:prstGeom prst="rect">
                          <a:avLst/>
                        </a:prstGeom>
                        <a:solidFill>
                          <a:srgbClr val="FFFFFF"/>
                        </a:solidFill>
                        <a:ln cap="flat">
                          <a:noFill/>
                          <a:prstDash val="solid"/>
                        </a:ln>
                      </wps:spPr>
                      <wps:bodyPr lIns="0" tIns="0" rIns="0" bIns="0"/>
                    </wps:wsp>
                  </a:graphicData>
                </a:graphic>
              </wp:anchor>
            </w:drawing>
          </mc:Choice>
          <mc:Fallback>
            <w:pict>
              <v:rect w14:anchorId="4B8B33A8" id="Rectangle 16" o:spid="_x0000_s1026" style="position:absolute;margin-left:397.5pt;margin-top:1.7pt;width:24.5pt;height:1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" stroked="f">
                <v:textbox inset="0,0,0,0"/>
              </v:rect>
            </w:pict>
          </mc:Fallback>
        </mc:AlternateContent>
      </w:r>
      <w:r>
        <w:rPr>
          <w:rFonts w:ascii="Arial" w:hAnsi="Arial" w:cs="Arial"/>
          <w:noProof/>
          <w:sz w:val="24"/>
          <w:szCs w:val="24"/>
          <w:lang w:eastAsia="en-GB"/>
        </w:rPr>
        <w:drawing>
          <wp:inline distT="0" distB="0" distL="0" distR="0" wp14:anchorId="3EB76478" wp14:editId="1C961FFF">
            <wp:extent cx="5366942" cy="2653762"/>
            <wp:effectExtent l="0" t="0" r="5158" b="538"/>
            <wp:docPr id="9"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1771" t="14182" r="30711" b="41023"/>
                    <a:stretch>
                      <a:fillRect/>
                    </a:stretch>
                  </pic:blipFill>
                  <pic:spPr>
                    <a:xfrm>
                      <a:off x="0" y="0"/>
                      <a:ext cx="5366942" cy="2653762"/>
                    </a:xfrm>
                    <a:prstGeom prst="rect">
                      <a:avLst/>
                    </a:prstGeom>
                    <a:noFill/>
                    <a:ln>
                      <a:noFill/>
                      <a:prstDash/>
                    </a:ln>
                  </pic:spPr>
                </pic:pic>
              </a:graphicData>
            </a:graphic>
          </wp:inline>
        </w:drawing>
      </w:r>
    </w:p>
    <w:p w14:paraId="4645F1DE" w14:textId="77777777" w:rsidR="00981EA9" w:rsidRDefault="00981EA9">
      <w:pPr>
        <w:pStyle w:val="ListParagraph"/>
        <w:jc w:val="center"/>
        <w:rPr>
          <w:rFonts w:ascii="Arial" w:eastAsia="Times New Roman" w:hAnsi="Arial" w:cs="Arial"/>
          <w:sz w:val="24"/>
          <w:szCs w:val="24"/>
        </w:rPr>
      </w:pPr>
    </w:p>
    <w:p w14:paraId="045CB741" w14:textId="77777777" w:rsidR="00981EA9" w:rsidRDefault="00BE4E19">
      <w:pPr>
        <w:pStyle w:val="ListParagraph"/>
        <w:rPr>
          <w:rFonts w:ascii="Arial" w:eastAsia="Times New Roman" w:hAnsi="Arial" w:cs="Arial"/>
          <w:i/>
          <w:sz w:val="24"/>
          <w:szCs w:val="24"/>
        </w:rPr>
      </w:pPr>
      <w:r>
        <w:rPr>
          <w:rFonts w:ascii="Arial" w:eastAsia="Times New Roman" w:hAnsi="Arial" w:cs="Arial"/>
          <w:i/>
          <w:sz w:val="24"/>
          <w:szCs w:val="24"/>
        </w:rPr>
        <w:t>Figure 7: Fatal Casualties (North East Regional Road Safety Resource)</w:t>
      </w:r>
    </w:p>
    <w:p w14:paraId="73EEF7C6" w14:textId="77777777" w:rsidR="00981EA9" w:rsidRDefault="00981EA9">
      <w:pPr>
        <w:pStyle w:val="ListParagraph"/>
        <w:rPr>
          <w:rFonts w:ascii="Arial" w:eastAsia="Times New Roman" w:hAnsi="Arial" w:cs="Arial"/>
          <w:i/>
          <w:sz w:val="24"/>
          <w:szCs w:val="24"/>
        </w:rPr>
      </w:pPr>
    </w:p>
    <w:p w14:paraId="31A46BDB" w14:textId="77777777" w:rsidR="00981EA9" w:rsidRDefault="00BE4E19">
      <w:pPr>
        <w:jc w:val="both"/>
      </w:pPr>
      <w:r>
        <w:rPr>
          <w:rFonts w:ascii="Arial" w:hAnsi="Arial" w:cs="Arial"/>
          <w:noProof/>
          <w:sz w:val="24"/>
          <w:szCs w:val="24"/>
          <w:lang w:eastAsia="en-GB"/>
        </w:rPr>
        <w:lastRenderedPageBreak/>
        <mc:AlternateContent>
          <mc:Choice Requires="wps">
            <w:drawing>
              <wp:anchor distT="0" distB="0" distL="114300" distR="114300" simplePos="0" relativeHeight="251668480" behindDoc="0" locked="0" layoutInCell="1" allowOverlap="1" wp14:anchorId="4656294B" wp14:editId="727AE9CD">
                <wp:simplePos x="0" y="0"/>
                <wp:positionH relativeFrom="column">
                  <wp:posOffset>5048246</wp:posOffset>
                </wp:positionH>
                <wp:positionV relativeFrom="paragraph">
                  <wp:posOffset>19687</wp:posOffset>
                </wp:positionV>
                <wp:extent cx="311152" cy="234945"/>
                <wp:effectExtent l="0" t="0" r="6348" b="0"/>
                <wp:wrapNone/>
                <wp:docPr id="10" name="Rectangle 18"/>
                <wp:cNvGraphicFramePr/>
                <a:graphic xmlns:a="http://schemas.openxmlformats.org/drawingml/2006/main">
                  <a:graphicData uri="http://schemas.microsoft.com/office/word/2010/wordprocessingShape">
                    <wps:wsp>
                      <wps:cNvSpPr/>
                      <wps:spPr>
                        <a:xfrm>
                          <a:off x="0" y="0"/>
                          <a:ext cx="311152" cy="234945"/>
                        </a:xfrm>
                        <a:prstGeom prst="rect">
                          <a:avLst/>
                        </a:prstGeom>
                        <a:solidFill>
                          <a:srgbClr val="FFFFFF"/>
                        </a:solidFill>
                        <a:ln cap="flat">
                          <a:noFill/>
                          <a:prstDash val="solid"/>
                        </a:ln>
                      </wps:spPr>
                      <wps:bodyPr lIns="0" tIns="0" rIns="0" bIns="0"/>
                    </wps:wsp>
                  </a:graphicData>
                </a:graphic>
              </wp:anchor>
            </w:drawing>
          </mc:Choice>
          <mc:Fallback>
            <w:pict>
              <v:rect w14:anchorId="473F2E4A" id="Rectangle 18" o:spid="_x0000_s1026" style="position:absolute;margin-left:397.5pt;margin-top:1.55pt;width:24.5pt;height:1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" stroked="f">
                <v:textbox inset="0,0,0,0"/>
              </v:rect>
            </w:pict>
          </mc:Fallback>
        </mc:AlternateContent>
      </w:r>
      <w:r>
        <w:rPr>
          <w:rFonts w:ascii="Arial" w:hAnsi="Arial" w:cs="Arial"/>
          <w:noProof/>
          <w:sz w:val="24"/>
          <w:szCs w:val="24"/>
          <w:lang w:eastAsia="en-GB"/>
        </w:rPr>
        <w:drawing>
          <wp:inline distT="0" distB="0" distL="0" distR="0" wp14:anchorId="70684938" wp14:editId="6BCDCAF9">
            <wp:extent cx="5389473" cy="2611892"/>
            <wp:effectExtent l="0" t="0" r="0" b="4308"/>
            <wp:docPr id="1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1745" t="14329" r="30794" b="41319"/>
                    <a:stretch>
                      <a:fillRect/>
                    </a:stretch>
                  </pic:blipFill>
                  <pic:spPr>
                    <a:xfrm>
                      <a:off x="0" y="0"/>
                      <a:ext cx="5389473" cy="2611892"/>
                    </a:xfrm>
                    <a:prstGeom prst="rect">
                      <a:avLst/>
                    </a:prstGeom>
                    <a:noFill/>
                    <a:ln w="9528" cmpd="dbl">
                      <a:noFill/>
                      <a:prstDash val="solid"/>
                    </a:ln>
                  </pic:spPr>
                </pic:pic>
              </a:graphicData>
            </a:graphic>
          </wp:inline>
        </w:drawing>
      </w:r>
    </w:p>
    <w:p w14:paraId="0BCA6D07" w14:textId="77777777" w:rsidR="00981EA9" w:rsidRDefault="00BE4E19">
      <w:pPr>
        <w:pStyle w:val="ListParagraph"/>
        <w:rPr>
          <w:rFonts w:ascii="Arial" w:eastAsia="Times New Roman" w:hAnsi="Arial" w:cs="Arial"/>
          <w:i/>
          <w:sz w:val="24"/>
          <w:szCs w:val="24"/>
        </w:rPr>
      </w:pPr>
      <w:r>
        <w:rPr>
          <w:rFonts w:ascii="Arial" w:eastAsia="Times New Roman" w:hAnsi="Arial" w:cs="Arial"/>
          <w:i/>
          <w:sz w:val="24"/>
          <w:szCs w:val="24"/>
        </w:rPr>
        <w:t>Figure 8: Seriously Injured Casualties (North East Regional Road Safety Resource)</w:t>
      </w:r>
    </w:p>
    <w:p w14:paraId="6FC56F6B" w14:textId="77777777" w:rsidR="00981EA9" w:rsidRDefault="00981EA9">
      <w:pPr>
        <w:pStyle w:val="ListParagraph"/>
        <w:rPr>
          <w:rFonts w:ascii="Arial" w:eastAsia="Times New Roman" w:hAnsi="Arial" w:cs="Arial"/>
          <w:i/>
          <w:sz w:val="24"/>
          <w:szCs w:val="24"/>
        </w:rPr>
      </w:pPr>
    </w:p>
    <w:p w14:paraId="04505FD3"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Since the adoption of the CRASH system, serious casualties have increased. This is due in part to the change in categorisation of injury standards adopted with CRASH. Notwit</w:t>
      </w:r>
      <w:r>
        <w:rPr>
          <w:rFonts w:ascii="Arial" w:eastAsia="Times New Roman" w:hAnsi="Arial" w:cs="Arial"/>
          <w:sz w:val="24"/>
          <w:szCs w:val="24"/>
        </w:rPr>
        <w:t xml:space="preserve">hstanding, Durham Constabulary continue to seek new ways in which to tackle the rise in serious casualties for road users. </w:t>
      </w:r>
    </w:p>
    <w:p w14:paraId="1A78D02F" w14:textId="77777777" w:rsidR="00981EA9" w:rsidRDefault="00981EA9">
      <w:pPr>
        <w:pStyle w:val="ListParagraph"/>
        <w:ind w:left="360"/>
        <w:rPr>
          <w:rFonts w:ascii="Arial" w:eastAsia="Times New Roman" w:hAnsi="Arial" w:cs="Arial"/>
          <w:sz w:val="24"/>
          <w:szCs w:val="24"/>
        </w:rPr>
      </w:pPr>
    </w:p>
    <w:p w14:paraId="27D76D33" w14:textId="77777777" w:rsidR="00981EA9" w:rsidRDefault="00BE4E19">
      <w:pPr>
        <w:pStyle w:val="ListParagraph"/>
        <w:numPr>
          <w:ilvl w:val="0"/>
          <w:numId w:val="1"/>
        </w:numPr>
        <w:jc w:val="both"/>
      </w:pPr>
      <w:r>
        <w:rPr>
          <w:rFonts w:ascii="Arial" w:hAnsi="Arial" w:cs="Arial"/>
          <w:sz w:val="24"/>
          <w:szCs w:val="24"/>
        </w:rPr>
        <w:t xml:space="preserve">In 2019 new equipment was supplied, funded in partnership across the 3 towns Area Action Partnership. </w:t>
      </w:r>
      <w:r>
        <w:rPr>
          <w:rFonts w:ascii="Arial" w:hAnsi="Arial" w:cs="Arial"/>
          <w:sz w:val="24"/>
          <w:szCs w:val="24"/>
          <w:lang w:val="en"/>
        </w:rPr>
        <w:t>Durham Constabulary have beco</w:t>
      </w:r>
      <w:r>
        <w:rPr>
          <w:rFonts w:ascii="Arial" w:hAnsi="Arial" w:cs="Arial"/>
          <w:sz w:val="24"/>
          <w:szCs w:val="24"/>
          <w:lang w:val="en"/>
        </w:rPr>
        <w:t>me the first force in the country to create a unique Speedwatch van to catch speeding drivers more effectively.</w:t>
      </w:r>
    </w:p>
    <w:p w14:paraId="0E84F401" w14:textId="77777777" w:rsidR="00981EA9" w:rsidRDefault="00981EA9">
      <w:pPr>
        <w:pStyle w:val="ListParagraph"/>
        <w:jc w:val="both"/>
        <w:rPr>
          <w:rFonts w:ascii="Arial" w:eastAsia="Times New Roman" w:hAnsi="Arial" w:cs="Arial"/>
          <w:sz w:val="24"/>
          <w:szCs w:val="24"/>
        </w:rPr>
      </w:pPr>
    </w:p>
    <w:p w14:paraId="1D917FDD"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Roads Policing Unit of Cleveland and Durham Specialist Operations Unit (CDSOU) also supports a calendar of campaigns throughout the year on</w:t>
      </w:r>
      <w:r>
        <w:rPr>
          <w:rFonts w:ascii="Arial" w:eastAsia="Times New Roman" w:hAnsi="Arial" w:cs="Arial"/>
          <w:sz w:val="24"/>
          <w:szCs w:val="24"/>
        </w:rPr>
        <w:t xml:space="preserve"> top of their continuous policing and enforcement work. These campaigns currently focus upon trucks and buses, the carriage of dangerous goods, insurance, and drink/drug driving.</w:t>
      </w:r>
    </w:p>
    <w:p w14:paraId="71E30F48" w14:textId="77777777" w:rsidR="00981EA9" w:rsidRDefault="00981EA9">
      <w:pPr>
        <w:pStyle w:val="ListParagraph"/>
        <w:rPr>
          <w:rFonts w:ascii="Arial" w:eastAsia="Times New Roman" w:hAnsi="Arial" w:cs="Arial"/>
          <w:sz w:val="24"/>
          <w:szCs w:val="24"/>
        </w:rPr>
      </w:pPr>
    </w:p>
    <w:p w14:paraId="2ECE40BB"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national pledge to provide an extra 20,000 Police Officers nationwide is</w:t>
      </w:r>
      <w:r>
        <w:rPr>
          <w:rFonts w:ascii="Arial" w:eastAsia="Times New Roman" w:hAnsi="Arial" w:cs="Arial"/>
          <w:sz w:val="24"/>
          <w:szCs w:val="24"/>
        </w:rPr>
        <w:t xml:space="preserve"> welcome, with Durham Constabulary recently advertising for an additional 200 Police Officers. However, it is worth noting that Durham Constabulary have seen a reduction of around 380 Police Officers since 2010. </w:t>
      </w:r>
    </w:p>
    <w:p w14:paraId="39961E46" w14:textId="77777777" w:rsidR="00981EA9" w:rsidRDefault="00981EA9">
      <w:pPr>
        <w:pStyle w:val="ListParagraph"/>
        <w:rPr>
          <w:rFonts w:ascii="Arial" w:eastAsia="Times New Roman" w:hAnsi="Arial" w:cs="Arial"/>
          <w:sz w:val="24"/>
          <w:szCs w:val="24"/>
        </w:rPr>
      </w:pPr>
    </w:p>
    <w:p w14:paraId="4F144330" w14:textId="77777777" w:rsidR="00981EA9" w:rsidRDefault="00BE4E19">
      <w:pPr>
        <w:pStyle w:val="ListParagraph"/>
        <w:numPr>
          <w:ilvl w:val="0"/>
          <w:numId w:val="1"/>
        </w:numPr>
      </w:pPr>
      <w:r>
        <w:rPr>
          <w:rFonts w:ascii="Arial" w:eastAsia="Times New Roman" w:hAnsi="Arial" w:cs="Arial"/>
          <w:sz w:val="24"/>
          <w:szCs w:val="24"/>
        </w:rPr>
        <w:t>The role of Neighbourhood Policing Teams (</w:t>
      </w:r>
      <w:r>
        <w:rPr>
          <w:rFonts w:ascii="Arial" w:eastAsia="Times New Roman" w:hAnsi="Arial" w:cs="Arial"/>
          <w:sz w:val="24"/>
          <w:szCs w:val="24"/>
        </w:rPr>
        <w:t>NPTs) and PCSOs are fundamental to policing in Durham Constabulary. PCSOs continue to have a presence across the county, and t</w:t>
      </w:r>
      <w:r>
        <w:rPr>
          <w:rFonts w:ascii="Arial" w:hAnsi="Arial" w:cs="Arial"/>
          <w:sz w:val="24"/>
          <w:szCs w:val="24"/>
        </w:rPr>
        <w:t xml:space="preserve">his year the force has recruited two new Community Safety </w:t>
      </w:r>
      <w:r>
        <w:rPr>
          <w:rFonts w:ascii="Arial" w:hAnsi="Arial" w:cs="Arial"/>
          <w:sz w:val="24"/>
          <w:szCs w:val="24"/>
        </w:rPr>
        <w:lastRenderedPageBreak/>
        <w:t>Responders. These are highly trained individuals who work for the Consta</w:t>
      </w:r>
      <w:r>
        <w:rPr>
          <w:rFonts w:ascii="Arial" w:hAnsi="Arial" w:cs="Arial"/>
          <w:sz w:val="24"/>
          <w:szCs w:val="24"/>
        </w:rPr>
        <w:t xml:space="preserve">bulary as PCSOs, for Community Durham and Darlington Fire and Rescue Service as retained firefighters, and also as first responders for the North East Ambulance Service. </w:t>
      </w:r>
    </w:p>
    <w:p w14:paraId="57626785" w14:textId="77777777" w:rsidR="00981EA9" w:rsidRDefault="00981EA9">
      <w:pPr>
        <w:pStyle w:val="ListParagraph"/>
        <w:rPr>
          <w:rFonts w:ascii="Arial" w:hAnsi="Arial" w:cs="Arial"/>
          <w:sz w:val="24"/>
          <w:szCs w:val="24"/>
        </w:rPr>
      </w:pPr>
    </w:p>
    <w:p w14:paraId="752A4669" w14:textId="77777777" w:rsidR="00981EA9" w:rsidRDefault="00BE4E19">
      <w:pPr>
        <w:pStyle w:val="ListParagraph"/>
        <w:numPr>
          <w:ilvl w:val="0"/>
          <w:numId w:val="1"/>
        </w:numPr>
        <w:rPr>
          <w:rFonts w:ascii="Arial" w:hAnsi="Arial" w:cs="Arial"/>
          <w:sz w:val="24"/>
          <w:szCs w:val="24"/>
        </w:rPr>
      </w:pPr>
      <w:r>
        <w:rPr>
          <w:rFonts w:ascii="Arial" w:hAnsi="Arial" w:cs="Arial"/>
          <w:sz w:val="24"/>
          <w:szCs w:val="24"/>
        </w:rPr>
        <w:t>Across the rural NPTs there is an appetite to revitalise and invigorate rural commun</w:t>
      </w:r>
      <w:r>
        <w:rPr>
          <w:rFonts w:ascii="Arial" w:hAnsi="Arial" w:cs="Arial"/>
          <w:sz w:val="24"/>
          <w:szCs w:val="24"/>
        </w:rPr>
        <w:t>ities into establishing, and leading on, their priorities. These can then be supported and actioned by Durham Constabulary.</w:t>
      </w:r>
    </w:p>
    <w:p w14:paraId="71DC15F7" w14:textId="77777777" w:rsidR="00981EA9" w:rsidRDefault="00981EA9">
      <w:pPr>
        <w:pStyle w:val="ListParagraph"/>
        <w:ind w:left="360"/>
        <w:jc w:val="both"/>
        <w:rPr>
          <w:rFonts w:ascii="Arial" w:eastAsia="Times New Roman" w:hAnsi="Arial" w:cs="Arial"/>
          <w:sz w:val="24"/>
          <w:szCs w:val="24"/>
        </w:rPr>
      </w:pPr>
    </w:p>
    <w:p w14:paraId="23438D42" w14:textId="77777777" w:rsidR="00981EA9" w:rsidRDefault="00BE4E19">
      <w:pPr>
        <w:rPr>
          <w:rFonts w:ascii="Arial" w:hAnsi="Arial" w:cs="Arial"/>
          <w:sz w:val="24"/>
          <w:szCs w:val="24"/>
          <w:u w:val="single"/>
        </w:rPr>
      </w:pPr>
      <w:r>
        <w:rPr>
          <w:rFonts w:ascii="Arial" w:hAnsi="Arial" w:cs="Arial"/>
          <w:sz w:val="24"/>
          <w:szCs w:val="24"/>
          <w:u w:val="single"/>
        </w:rPr>
        <w:t>KPQ2: How well are we preventing and reducing crime?</w:t>
      </w:r>
    </w:p>
    <w:p w14:paraId="718EDF6F"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Overall, Her Majesty’s Inspectorate of Constabulary and Fire &amp; Rescue Services</w:t>
      </w:r>
      <w:r>
        <w:rPr>
          <w:rFonts w:ascii="Arial" w:eastAsia="Times New Roman" w:hAnsi="Arial" w:cs="Arial"/>
          <w:sz w:val="24"/>
          <w:szCs w:val="24"/>
        </w:rPr>
        <w:t xml:space="preserve"> (HMICFRS) has graded Durham Constabulary as ‘Outstanding’ at preventing and reducing crime in four of the Police effectiveness, efficiency and legitimacy (PEEL) inspections it has undergone.  </w:t>
      </w:r>
    </w:p>
    <w:p w14:paraId="111EA9F3" w14:textId="77777777" w:rsidR="00981EA9" w:rsidRDefault="00981EA9">
      <w:pPr>
        <w:pStyle w:val="ListParagraph"/>
        <w:jc w:val="both"/>
        <w:rPr>
          <w:rFonts w:ascii="Arial" w:eastAsia="Times New Roman" w:hAnsi="Arial" w:cs="Arial"/>
          <w:sz w:val="24"/>
          <w:szCs w:val="24"/>
        </w:rPr>
      </w:pPr>
    </w:p>
    <w:p w14:paraId="606A963C"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Crimes recorded by the police have risen recently in Durham, </w:t>
      </w:r>
      <w:r>
        <w:rPr>
          <w:rFonts w:ascii="Arial" w:eastAsia="Times New Roman" w:hAnsi="Arial" w:cs="Arial"/>
          <w:sz w:val="24"/>
          <w:szCs w:val="24"/>
        </w:rPr>
        <w:t xml:space="preserve">mirroring the national trend. This is because of improved recording, increased confidence to report certain crimes, and actual rises for some categories. </w:t>
      </w:r>
    </w:p>
    <w:p w14:paraId="74125628" w14:textId="77777777" w:rsidR="00981EA9" w:rsidRDefault="00981EA9">
      <w:pPr>
        <w:pStyle w:val="ListParagraph"/>
        <w:rPr>
          <w:rFonts w:ascii="Arial" w:eastAsia="Times New Roman" w:hAnsi="Arial" w:cs="Arial"/>
          <w:sz w:val="24"/>
          <w:szCs w:val="24"/>
        </w:rPr>
      </w:pPr>
    </w:p>
    <w:p w14:paraId="7E803EFA" w14:textId="77777777" w:rsidR="00981EA9" w:rsidRDefault="00BE4E19">
      <w:pPr>
        <w:jc w:val="both"/>
      </w:pPr>
      <w:r>
        <w:rPr>
          <w:rFonts w:ascii="Arial" w:hAnsi="Arial" w:cs="Arial"/>
          <w:noProof/>
          <w:sz w:val="24"/>
          <w:szCs w:val="24"/>
          <w:lang w:eastAsia="en-GB"/>
        </w:rPr>
        <w:drawing>
          <wp:inline distT="0" distB="0" distL="0" distR="0" wp14:anchorId="50F0A65F" wp14:editId="3B2B645A">
            <wp:extent cx="5720468" cy="1367741"/>
            <wp:effectExtent l="0" t="0" r="0" b="3859"/>
            <wp:docPr id="12"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6980" t="38704" r="16585" b="14433"/>
                    <a:stretch>
                      <a:fillRect/>
                    </a:stretch>
                  </pic:blipFill>
                  <pic:spPr>
                    <a:xfrm>
                      <a:off x="0" y="0"/>
                      <a:ext cx="5720468" cy="1367741"/>
                    </a:xfrm>
                    <a:prstGeom prst="rect">
                      <a:avLst/>
                    </a:prstGeom>
                    <a:noFill/>
                    <a:ln>
                      <a:noFill/>
                      <a:prstDash/>
                    </a:ln>
                  </pic:spPr>
                </pic:pic>
              </a:graphicData>
            </a:graphic>
          </wp:inline>
        </w:drawing>
      </w:r>
    </w:p>
    <w:p w14:paraId="18FD062B" w14:textId="77777777" w:rsidR="00981EA9" w:rsidRDefault="00BE4E19">
      <w:pPr>
        <w:rPr>
          <w:rFonts w:ascii="Arial" w:eastAsia="Times New Roman" w:hAnsi="Arial" w:cs="Arial"/>
          <w:i/>
          <w:sz w:val="24"/>
          <w:szCs w:val="24"/>
        </w:rPr>
      </w:pPr>
      <w:r>
        <w:rPr>
          <w:rFonts w:ascii="Arial" w:eastAsia="Times New Roman" w:hAnsi="Arial" w:cs="Arial"/>
          <w:i/>
          <w:sz w:val="24"/>
          <w:szCs w:val="24"/>
        </w:rPr>
        <w:t xml:space="preserve">Figure 9: Police Recorded Crime Percentage Change, Year Ending September 2019 Compared With </w:t>
      </w:r>
      <w:r>
        <w:rPr>
          <w:rFonts w:ascii="Arial" w:eastAsia="Times New Roman" w:hAnsi="Arial" w:cs="Arial"/>
          <w:i/>
          <w:sz w:val="24"/>
          <w:szCs w:val="24"/>
        </w:rPr>
        <w:t>Year Ending September 2017 (Crime Survey for England and Wales)</w:t>
      </w:r>
    </w:p>
    <w:p w14:paraId="3DE25126" w14:textId="77777777" w:rsidR="00981EA9" w:rsidRDefault="00981EA9">
      <w:pPr>
        <w:rPr>
          <w:rFonts w:ascii="Arial" w:eastAsia="Times New Roman" w:hAnsi="Arial" w:cs="Arial"/>
          <w:i/>
          <w:sz w:val="24"/>
          <w:szCs w:val="24"/>
        </w:rPr>
      </w:pPr>
    </w:p>
    <w:p w14:paraId="2E4FFB1E"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From the period January 2019 to January 2020 percentage change in: Violence Against the Person, Sexual Offences, Theft Offences and Criminal Damage have increased marginally, while Robbery le</w:t>
      </w:r>
      <w:r>
        <w:rPr>
          <w:rFonts w:ascii="Arial" w:eastAsia="Times New Roman" w:hAnsi="Arial" w:cs="Arial"/>
          <w:sz w:val="24"/>
          <w:szCs w:val="24"/>
        </w:rPr>
        <w:t xml:space="preserve">vels have seen no change from this time last year. (Source DCOP) </w:t>
      </w:r>
    </w:p>
    <w:p w14:paraId="4D617F58" w14:textId="77777777" w:rsidR="00981EA9" w:rsidRDefault="00BE4E19">
      <w:r>
        <w:rPr>
          <w:rFonts w:ascii="Arial" w:hAnsi="Arial" w:cs="Arial"/>
          <w:noProof/>
          <w:sz w:val="24"/>
          <w:szCs w:val="24"/>
          <w:lang w:eastAsia="en-GB"/>
        </w:rPr>
        <w:lastRenderedPageBreak/>
        <w:drawing>
          <wp:inline distT="0" distB="0" distL="0" distR="0" wp14:anchorId="0AB5A25F" wp14:editId="7522C989">
            <wp:extent cx="5751457" cy="1393728"/>
            <wp:effectExtent l="0" t="0" r="1643" b="3272"/>
            <wp:docPr id="1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6980" t="27920" r="16585" b="24922"/>
                    <a:stretch>
                      <a:fillRect/>
                    </a:stretch>
                  </pic:blipFill>
                  <pic:spPr>
                    <a:xfrm>
                      <a:off x="0" y="0"/>
                      <a:ext cx="5751457" cy="1393728"/>
                    </a:xfrm>
                    <a:prstGeom prst="rect">
                      <a:avLst/>
                    </a:prstGeom>
                    <a:noFill/>
                    <a:ln>
                      <a:noFill/>
                      <a:prstDash/>
                    </a:ln>
                  </pic:spPr>
                </pic:pic>
              </a:graphicData>
            </a:graphic>
          </wp:inline>
        </w:drawing>
      </w:r>
    </w:p>
    <w:p w14:paraId="305F3DD1"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10: Police Recorded Crime Rate of Offences per 1000 Population, Year Ending September 2019 (Crime Survey for England and Wales)</w:t>
      </w:r>
    </w:p>
    <w:p w14:paraId="50D35583" w14:textId="77777777" w:rsidR="00981EA9" w:rsidRDefault="00981EA9">
      <w:pPr>
        <w:rPr>
          <w:rFonts w:ascii="Arial" w:eastAsia="Times New Roman" w:hAnsi="Arial" w:cs="Arial"/>
          <w:i/>
          <w:sz w:val="24"/>
          <w:szCs w:val="24"/>
        </w:rPr>
      </w:pPr>
    </w:p>
    <w:p w14:paraId="56847395"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Durham Constabulary has a higher proportion of resol</w:t>
      </w:r>
      <w:r>
        <w:rPr>
          <w:rFonts w:ascii="Arial" w:eastAsia="Times New Roman" w:hAnsi="Arial" w:cs="Arial"/>
          <w:sz w:val="24"/>
          <w:szCs w:val="24"/>
        </w:rPr>
        <w:t>ved outcomes – where a crime has been solved by the police – than is the case nationally. Between February 2019 and January 2020, then, Durham’s solved rate was 19%, compared to a 13% average for forces across England and Wales from January 2019 to Decembe</w:t>
      </w:r>
      <w:r>
        <w:rPr>
          <w:rFonts w:ascii="Arial" w:eastAsia="Times New Roman" w:hAnsi="Arial" w:cs="Arial"/>
          <w:sz w:val="24"/>
          <w:szCs w:val="24"/>
        </w:rPr>
        <w:t xml:space="preserve">r 2019. </w:t>
      </w:r>
    </w:p>
    <w:p w14:paraId="3252F1AC" w14:textId="77777777" w:rsidR="00981EA9" w:rsidRDefault="00981EA9">
      <w:pPr>
        <w:jc w:val="both"/>
        <w:rPr>
          <w:rFonts w:ascii="Arial" w:eastAsia="Times New Roman" w:hAnsi="Arial" w:cs="Arial"/>
          <w:sz w:val="24"/>
          <w:szCs w:val="24"/>
        </w:rPr>
      </w:pPr>
    </w:p>
    <w:p w14:paraId="330E2575" w14:textId="77777777" w:rsidR="00981EA9" w:rsidRDefault="00981EA9">
      <w:pPr>
        <w:jc w:val="both"/>
        <w:rPr>
          <w:rFonts w:ascii="Arial" w:eastAsia="Times New Roman" w:hAnsi="Arial" w:cs="Arial"/>
          <w:sz w:val="24"/>
          <w:szCs w:val="24"/>
        </w:rPr>
      </w:pPr>
    </w:p>
    <w:p w14:paraId="40BFC867" w14:textId="77777777" w:rsidR="00981EA9" w:rsidRDefault="00981EA9">
      <w:pPr>
        <w:jc w:val="both"/>
        <w:rPr>
          <w:rFonts w:ascii="Arial" w:eastAsia="Times New Roman" w:hAnsi="Arial" w:cs="Arial"/>
          <w:sz w:val="24"/>
          <w:szCs w:val="24"/>
        </w:rPr>
      </w:pPr>
    </w:p>
    <w:p w14:paraId="1877FB86" w14:textId="77777777" w:rsidR="00981EA9" w:rsidRDefault="00981EA9">
      <w:pPr>
        <w:jc w:val="both"/>
        <w:rPr>
          <w:rFonts w:ascii="Arial" w:eastAsia="Times New Roman" w:hAnsi="Arial" w:cs="Arial"/>
          <w:sz w:val="24"/>
          <w:szCs w:val="24"/>
        </w:rPr>
      </w:pPr>
    </w:p>
    <w:p w14:paraId="4DF910EE" w14:textId="77777777" w:rsidR="00981EA9" w:rsidRDefault="00981EA9">
      <w:pPr>
        <w:jc w:val="both"/>
        <w:rPr>
          <w:rFonts w:ascii="Arial" w:eastAsia="Times New Roman" w:hAnsi="Arial" w:cs="Arial"/>
          <w:sz w:val="24"/>
          <w:szCs w:val="24"/>
        </w:rPr>
      </w:pPr>
    </w:p>
    <w:p w14:paraId="670B5EB7" w14:textId="77777777" w:rsidR="00981EA9" w:rsidRDefault="00BE4E19">
      <w:pPr>
        <w:jc w:val="both"/>
      </w:pPr>
      <w:r>
        <w:rPr>
          <w:rFonts w:ascii="Arial" w:hAnsi="Arial" w:cs="Arial"/>
          <w:noProof/>
          <w:sz w:val="24"/>
          <w:szCs w:val="24"/>
          <w:lang w:eastAsia="en-GB"/>
        </w:rPr>
        <w:drawing>
          <wp:inline distT="0" distB="0" distL="0" distR="0" wp14:anchorId="529A815B" wp14:editId="0C61722E">
            <wp:extent cx="6349072" cy="1910145"/>
            <wp:effectExtent l="0" t="0" r="928" b="0"/>
            <wp:docPr id="1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899" t="31792" r="23014" b="16418"/>
                    <a:stretch>
                      <a:fillRect/>
                    </a:stretch>
                  </pic:blipFill>
                  <pic:spPr>
                    <a:xfrm>
                      <a:off x="0" y="0"/>
                      <a:ext cx="6349072" cy="1910145"/>
                    </a:xfrm>
                    <a:prstGeom prst="rect">
                      <a:avLst/>
                    </a:prstGeom>
                    <a:noFill/>
                    <a:ln>
                      <a:noFill/>
                      <a:prstDash/>
                    </a:ln>
                  </pic:spPr>
                </pic:pic>
              </a:graphicData>
            </a:graphic>
          </wp:inline>
        </w:drawing>
      </w:r>
    </w:p>
    <w:p w14:paraId="3A3D6DAB" w14:textId="77777777" w:rsidR="00981EA9" w:rsidRDefault="00981EA9">
      <w:pPr>
        <w:pStyle w:val="ListParagraph"/>
        <w:ind w:left="360"/>
        <w:jc w:val="both"/>
        <w:rPr>
          <w:rFonts w:ascii="Arial" w:eastAsia="Times New Roman" w:hAnsi="Arial" w:cs="Arial"/>
          <w:sz w:val="24"/>
          <w:szCs w:val="24"/>
        </w:rPr>
      </w:pPr>
    </w:p>
    <w:p w14:paraId="61A51522" w14:textId="77777777" w:rsidR="00981EA9" w:rsidRDefault="00981EA9">
      <w:pPr>
        <w:jc w:val="center"/>
        <w:rPr>
          <w:rFonts w:ascii="Arial" w:eastAsia="Times New Roman" w:hAnsi="Arial" w:cs="Arial"/>
          <w:sz w:val="24"/>
          <w:szCs w:val="24"/>
        </w:rPr>
      </w:pPr>
    </w:p>
    <w:p w14:paraId="1528954B" w14:textId="77777777" w:rsidR="00981EA9" w:rsidRDefault="00BE4E19">
      <w:pPr>
        <w:rPr>
          <w:rFonts w:ascii="Arial" w:eastAsia="Times New Roman" w:hAnsi="Arial" w:cs="Arial"/>
          <w:i/>
          <w:sz w:val="24"/>
          <w:szCs w:val="24"/>
        </w:rPr>
      </w:pPr>
      <w:r>
        <w:rPr>
          <w:rFonts w:ascii="Arial" w:eastAsia="Times New Roman" w:hAnsi="Arial" w:cs="Arial"/>
          <w:i/>
          <w:sz w:val="24"/>
          <w:szCs w:val="24"/>
        </w:rPr>
        <w:t>Figure 11: Crime Outcomes for England &amp; Wales and Durham (Home Office)- NB Data is offered in differing month cycles due to the nature in which the raw data is presented.</w:t>
      </w:r>
    </w:p>
    <w:p w14:paraId="50F40CDA" w14:textId="77777777" w:rsidR="00981EA9" w:rsidRDefault="00981EA9">
      <w:pPr>
        <w:rPr>
          <w:rFonts w:ascii="Arial" w:eastAsia="Times New Roman" w:hAnsi="Arial" w:cs="Arial"/>
          <w:sz w:val="24"/>
          <w:szCs w:val="24"/>
        </w:rPr>
      </w:pPr>
    </w:p>
    <w:p w14:paraId="3D9DE049"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There is an increased onus within Durham Constabulary upon tacklin</w:t>
      </w:r>
      <w:r>
        <w:rPr>
          <w:rFonts w:ascii="Arial" w:eastAsia="Times New Roman" w:hAnsi="Arial" w:cs="Arial"/>
          <w:sz w:val="24"/>
          <w:szCs w:val="24"/>
        </w:rPr>
        <w:t xml:space="preserve">g high harm crime. However, solved rates have decreased across the board, in all harm </w:t>
      </w:r>
      <w:r>
        <w:rPr>
          <w:rFonts w:ascii="Arial" w:eastAsia="Times New Roman" w:hAnsi="Arial" w:cs="Arial"/>
          <w:sz w:val="24"/>
          <w:szCs w:val="24"/>
        </w:rPr>
        <w:lastRenderedPageBreak/>
        <w:t>categories, with only four crime categories showing an increase in solved rate from August 2018 to August 2019. (Source DCOP)</w:t>
      </w:r>
    </w:p>
    <w:p w14:paraId="6CB2293B" w14:textId="77777777" w:rsidR="00981EA9" w:rsidRDefault="00981EA9">
      <w:pPr>
        <w:pStyle w:val="ListParagraph"/>
        <w:ind w:left="360"/>
        <w:rPr>
          <w:rFonts w:ascii="Arial" w:eastAsia="Times New Roman" w:hAnsi="Arial" w:cs="Arial"/>
          <w:sz w:val="24"/>
          <w:szCs w:val="24"/>
        </w:rPr>
      </w:pPr>
    </w:p>
    <w:p w14:paraId="09E4BF0A" w14:textId="77777777" w:rsidR="00981EA9" w:rsidRDefault="00981EA9">
      <w:pPr>
        <w:pStyle w:val="ListParagraph"/>
        <w:rPr>
          <w:rFonts w:ascii="Arial" w:eastAsia="Times New Roman" w:hAnsi="Arial" w:cs="Arial"/>
          <w:sz w:val="24"/>
          <w:szCs w:val="24"/>
        </w:rPr>
      </w:pPr>
    </w:p>
    <w:p w14:paraId="278186D3"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Criminal Justice as a whole is made up of </w:t>
      </w:r>
      <w:r>
        <w:rPr>
          <w:rFonts w:ascii="Arial" w:eastAsia="Times New Roman" w:hAnsi="Arial" w:cs="Arial"/>
          <w:sz w:val="24"/>
          <w:szCs w:val="24"/>
        </w:rPr>
        <w:t>many agencies and partners. Whilst an increase in police officer numbers is of course welcome our partners may continue to struggle in relation to service delivery. This would include local authorities and organisations such as the Crown Prosecution Servic</w:t>
      </w:r>
      <w:r>
        <w:rPr>
          <w:rFonts w:ascii="Arial" w:eastAsia="Times New Roman" w:hAnsi="Arial" w:cs="Arial"/>
          <w:sz w:val="24"/>
          <w:szCs w:val="24"/>
        </w:rPr>
        <w:t xml:space="preserve">e, Probation, and the NHS.   </w:t>
      </w:r>
    </w:p>
    <w:p w14:paraId="2F1E1C3A" w14:textId="77777777" w:rsidR="00981EA9" w:rsidRDefault="00981EA9">
      <w:pPr>
        <w:pStyle w:val="ListParagraph"/>
        <w:ind w:left="360"/>
        <w:jc w:val="both"/>
        <w:rPr>
          <w:rFonts w:ascii="Arial" w:eastAsia="Times New Roman" w:hAnsi="Arial" w:cs="Arial"/>
          <w:sz w:val="24"/>
          <w:szCs w:val="24"/>
        </w:rPr>
      </w:pPr>
    </w:p>
    <w:p w14:paraId="312DB32A" w14:textId="77777777" w:rsidR="00981EA9" w:rsidRDefault="00981EA9">
      <w:pPr>
        <w:pStyle w:val="ListParagraph"/>
        <w:ind w:left="360"/>
        <w:jc w:val="both"/>
        <w:rPr>
          <w:rFonts w:ascii="Arial" w:eastAsia="Times New Roman" w:hAnsi="Arial" w:cs="Arial"/>
          <w:sz w:val="24"/>
          <w:szCs w:val="24"/>
        </w:rPr>
      </w:pPr>
    </w:p>
    <w:p w14:paraId="413F20C8" w14:textId="77777777" w:rsidR="00981EA9" w:rsidRDefault="00BE4E19">
      <w:pPr>
        <w:pStyle w:val="ListParagraph"/>
        <w:numPr>
          <w:ilvl w:val="0"/>
          <w:numId w:val="1"/>
        </w:numPr>
        <w:jc w:val="both"/>
      </w:pPr>
      <w:r>
        <w:rPr>
          <w:rFonts w:ascii="Arial" w:eastAsia="Times New Roman" w:hAnsi="Arial" w:cs="Arial"/>
          <w:sz w:val="24"/>
          <w:szCs w:val="24"/>
        </w:rPr>
        <w:t xml:space="preserve">On a wider point around crime prevention, Durham Constabulary is committed to keeping County Durham and Darlington safe for residents, businesses, students and visitors alike. A large part of this centres around the work of </w:t>
      </w:r>
      <w:r>
        <w:rPr>
          <w:rFonts w:ascii="Arial" w:eastAsia="Times New Roman" w:hAnsi="Arial" w:cs="Arial"/>
          <w:sz w:val="24"/>
          <w:szCs w:val="24"/>
        </w:rPr>
        <w:t xml:space="preserve">Durham’s neighbourhood policing teams who are always out and about in their local areas, helping to promote public safety. In addition, the Constabulary’s crime prevention officers offer specific advice about particular crimes – as well as how individuals </w:t>
      </w:r>
      <w:r>
        <w:rPr>
          <w:rFonts w:ascii="Arial" w:eastAsia="Times New Roman" w:hAnsi="Arial" w:cs="Arial"/>
          <w:sz w:val="24"/>
          <w:szCs w:val="24"/>
        </w:rPr>
        <w:t>and households can help to prevent crime through keeping their valuables and homes secure. More information can be found on Durham Constabulary’s website (</w:t>
      </w:r>
      <w:hyperlink r:id="rId19" w:history="1">
        <w:r>
          <w:rPr>
            <w:rStyle w:val="Hyperlink"/>
            <w:rFonts w:ascii="Arial" w:eastAsia="Times New Roman" w:hAnsi="Arial" w:cs="Arial"/>
            <w:color w:val="auto"/>
            <w:sz w:val="24"/>
            <w:szCs w:val="24"/>
          </w:rPr>
          <w:t>www.durham.police.uk/Information-</w:t>
        </w:r>
        <w:r>
          <w:rPr>
            <w:rStyle w:val="Hyperlink"/>
            <w:rFonts w:ascii="Arial" w:eastAsia="Times New Roman" w:hAnsi="Arial" w:cs="Arial"/>
            <w:color w:val="auto"/>
            <w:sz w:val="24"/>
            <w:szCs w:val="24"/>
          </w:rPr>
          <w:t>and-advice</w:t>
        </w:r>
      </w:hyperlink>
      <w:r>
        <w:rPr>
          <w:rFonts w:ascii="Arial" w:eastAsia="Times New Roman" w:hAnsi="Arial" w:cs="Arial"/>
          <w:sz w:val="24"/>
          <w:szCs w:val="24"/>
        </w:rPr>
        <w:t>).</w:t>
      </w:r>
    </w:p>
    <w:p w14:paraId="2DD98049" w14:textId="77777777" w:rsidR="00981EA9" w:rsidRDefault="00981EA9">
      <w:pPr>
        <w:pStyle w:val="ListParagraph"/>
        <w:ind w:left="360"/>
        <w:jc w:val="both"/>
        <w:rPr>
          <w:rFonts w:ascii="Arial" w:eastAsia="Times New Roman" w:hAnsi="Arial" w:cs="Arial"/>
          <w:sz w:val="24"/>
          <w:szCs w:val="24"/>
        </w:rPr>
      </w:pPr>
    </w:p>
    <w:p w14:paraId="0C1B2C0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More detail on crime prevention activities will be included in future performance reports.</w:t>
      </w:r>
    </w:p>
    <w:p w14:paraId="09745179" w14:textId="77777777" w:rsidR="00981EA9" w:rsidRDefault="00981EA9">
      <w:pPr>
        <w:pStyle w:val="ListParagraph"/>
        <w:rPr>
          <w:rFonts w:ascii="Arial" w:eastAsia="Times New Roman" w:hAnsi="Arial" w:cs="Arial"/>
          <w:sz w:val="24"/>
          <w:szCs w:val="24"/>
        </w:rPr>
      </w:pPr>
    </w:p>
    <w:p w14:paraId="4E66556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Reducing reoffending is the subject of the next report. However, there are a multitude of projects and schemes which Durham Constabulary work in </w:t>
      </w:r>
      <w:r>
        <w:rPr>
          <w:rFonts w:ascii="Arial" w:eastAsia="Times New Roman" w:hAnsi="Arial" w:cs="Arial"/>
          <w:sz w:val="24"/>
          <w:szCs w:val="24"/>
        </w:rPr>
        <w:t xml:space="preserve">partnership with, that aim to reduce reoffending, such as Community Speedwatch, Checkpoint, electronic tagging and alcohol ignition interlocks. </w:t>
      </w:r>
    </w:p>
    <w:p w14:paraId="46E6AD47" w14:textId="77777777" w:rsidR="00981EA9" w:rsidRDefault="00981EA9">
      <w:pPr>
        <w:jc w:val="both"/>
        <w:rPr>
          <w:rFonts w:ascii="Arial" w:eastAsia="Times New Roman" w:hAnsi="Arial" w:cs="Arial"/>
          <w:sz w:val="24"/>
          <w:szCs w:val="24"/>
        </w:rPr>
      </w:pPr>
    </w:p>
    <w:p w14:paraId="1A924F5E" w14:textId="77777777" w:rsidR="00981EA9" w:rsidRDefault="00BE4E19">
      <w:pPr>
        <w:pStyle w:val="Heading1"/>
        <w:rPr>
          <w:szCs w:val="24"/>
        </w:rPr>
      </w:pPr>
      <w:r>
        <w:rPr>
          <w:szCs w:val="24"/>
        </w:rPr>
        <w:t>Outcome 2 – Victims and the vulnerable feel supported</w:t>
      </w:r>
    </w:p>
    <w:p w14:paraId="79FB8311" w14:textId="77777777" w:rsidR="00981EA9" w:rsidRDefault="00BE4E19">
      <w:pPr>
        <w:jc w:val="both"/>
      </w:pPr>
      <w:r>
        <w:rPr>
          <w:rFonts w:ascii="Arial" w:eastAsia="Times New Roman" w:hAnsi="Arial" w:cs="Arial"/>
          <w:sz w:val="24"/>
          <w:szCs w:val="24"/>
          <w:u w:val="single"/>
        </w:rPr>
        <w:t>KPQ3: How well are victims supported to cope and recover</w:t>
      </w:r>
      <w:r>
        <w:rPr>
          <w:rFonts w:ascii="Arial" w:eastAsia="Times New Roman" w:hAnsi="Arial" w:cs="Arial"/>
          <w:sz w:val="24"/>
          <w:szCs w:val="24"/>
          <w:u w:val="single"/>
        </w:rPr>
        <w:t>, and engage in criminal justice processes?</w:t>
      </w:r>
    </w:p>
    <w:p w14:paraId="40E00CAD"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Victims often feel let down by the system because of the way in which they are passed from one agency to another and are not properly supported. The PCVC’s office work (through the Local Criminal Justice </w:t>
      </w:r>
      <w:r>
        <w:rPr>
          <w:rFonts w:ascii="Arial" w:eastAsia="Times New Roman" w:hAnsi="Arial" w:cs="Arial"/>
          <w:sz w:val="24"/>
          <w:szCs w:val="24"/>
        </w:rPr>
        <w:t>Partnership (LCJP)) to ensure that victims and witnesses are able to cope and recover from their experience – and, that they are able to engage with the Criminal Justice System in a positive way.</w:t>
      </w:r>
    </w:p>
    <w:p w14:paraId="6E531918" w14:textId="77777777" w:rsidR="00981EA9" w:rsidRDefault="00981EA9">
      <w:pPr>
        <w:pStyle w:val="ListParagraph"/>
        <w:jc w:val="both"/>
        <w:rPr>
          <w:rFonts w:ascii="Arial" w:eastAsia="Times New Roman" w:hAnsi="Arial" w:cs="Arial"/>
          <w:sz w:val="24"/>
          <w:szCs w:val="24"/>
        </w:rPr>
      </w:pPr>
    </w:p>
    <w:p w14:paraId="04F69C2B"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work is led and coordinated through the LCJP’s County D</w:t>
      </w:r>
      <w:r>
        <w:rPr>
          <w:rFonts w:ascii="Arial" w:eastAsia="Times New Roman" w:hAnsi="Arial" w:cs="Arial"/>
          <w:sz w:val="24"/>
          <w:szCs w:val="24"/>
        </w:rPr>
        <w:t xml:space="preserve">urham and Darlington Victim and Witness Group. That group has a delivery plan mirroring its </w:t>
      </w:r>
      <w:r>
        <w:rPr>
          <w:rFonts w:ascii="Arial" w:eastAsia="Times New Roman" w:hAnsi="Arial" w:cs="Arial"/>
          <w:sz w:val="24"/>
          <w:szCs w:val="24"/>
        </w:rPr>
        <w:lastRenderedPageBreak/>
        <w:t>Strategic Plan on a Page. Below are the five sections of this delivery plan, with a small update on some of the work ongoing:</w:t>
      </w:r>
    </w:p>
    <w:p w14:paraId="03D1C736" w14:textId="77777777" w:rsidR="00981EA9" w:rsidRDefault="00981EA9">
      <w:pPr>
        <w:pStyle w:val="ListParagraph"/>
        <w:rPr>
          <w:rFonts w:ascii="Arial" w:eastAsia="Times New Roman" w:hAnsi="Arial" w:cs="Arial"/>
          <w:sz w:val="24"/>
          <w:szCs w:val="24"/>
        </w:rPr>
      </w:pPr>
    </w:p>
    <w:p w14:paraId="21D40ED4" w14:textId="77777777" w:rsidR="00981EA9" w:rsidRDefault="00BE4E19">
      <w:pPr>
        <w:pStyle w:val="ListParagraph"/>
        <w:numPr>
          <w:ilvl w:val="1"/>
          <w:numId w:val="2"/>
        </w:numPr>
        <w:spacing w:after="0" w:line="240" w:lineRule="auto"/>
      </w:pPr>
      <w:r>
        <w:rPr>
          <w:rFonts w:ascii="Arial" w:hAnsi="Arial" w:cs="Arial"/>
          <w:bCs/>
          <w:sz w:val="24"/>
          <w:szCs w:val="24"/>
          <w:u w:val="single"/>
        </w:rPr>
        <w:t>Provide co-ordinated, end-to-end care</w:t>
      </w:r>
      <w:r>
        <w:rPr>
          <w:rFonts w:ascii="Arial" w:hAnsi="Arial" w:cs="Arial"/>
          <w:bCs/>
          <w:sz w:val="24"/>
          <w:szCs w:val="24"/>
          <w:u w:val="single"/>
        </w:rPr>
        <w:t xml:space="preserve"> and support for victims and witnesses</w:t>
      </w:r>
    </w:p>
    <w:p w14:paraId="5F4994EF"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First and foremost this means understanding and identifying current pathways for victims as a part of ongoing commissioning to reach the right model in support of victims.</w:t>
      </w:r>
    </w:p>
    <w:p w14:paraId="24E37E53"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Another continuous part of this section of th</w:t>
      </w:r>
      <w:r>
        <w:rPr>
          <w:rFonts w:ascii="Arial" w:eastAsia="Times New Roman" w:hAnsi="Arial" w:cs="Arial"/>
          <w:sz w:val="24"/>
          <w:szCs w:val="24"/>
        </w:rPr>
        <w:t>e delivery plan is ensuring that officers within the Constabulary have the correct level of understanding and awareness of victim and witness services.</w:t>
      </w:r>
    </w:p>
    <w:p w14:paraId="46720667" w14:textId="77777777" w:rsidR="00981EA9" w:rsidRDefault="00981EA9">
      <w:pPr>
        <w:pStyle w:val="ListParagraph"/>
        <w:spacing w:after="0" w:line="240" w:lineRule="auto"/>
        <w:ind w:left="792"/>
        <w:jc w:val="both"/>
        <w:rPr>
          <w:rFonts w:ascii="Arial" w:eastAsia="Times New Roman" w:hAnsi="Arial" w:cs="Arial"/>
          <w:sz w:val="24"/>
          <w:szCs w:val="24"/>
        </w:rPr>
      </w:pPr>
    </w:p>
    <w:p w14:paraId="1F6C6580" w14:textId="77777777" w:rsidR="00981EA9" w:rsidRDefault="00BE4E19">
      <w:pPr>
        <w:pStyle w:val="ListParagraph"/>
        <w:numPr>
          <w:ilvl w:val="1"/>
          <w:numId w:val="2"/>
        </w:numPr>
        <w:spacing w:after="0" w:line="240" w:lineRule="auto"/>
      </w:pPr>
      <w:r>
        <w:rPr>
          <w:rFonts w:ascii="Arial" w:hAnsi="Arial" w:cs="Arial"/>
          <w:bCs/>
          <w:sz w:val="24"/>
          <w:szCs w:val="24"/>
          <w:u w:val="single"/>
        </w:rPr>
        <w:t>Effective pathways</w:t>
      </w:r>
    </w:p>
    <w:p w14:paraId="1C7EAF4D"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In terms of these pathways for victims, the establishment of the Root Cause Analysis</w:t>
      </w:r>
      <w:r>
        <w:rPr>
          <w:rFonts w:ascii="Arial" w:eastAsia="Times New Roman" w:hAnsi="Arial" w:cs="Arial"/>
          <w:sz w:val="24"/>
          <w:szCs w:val="24"/>
        </w:rPr>
        <w:t xml:space="preserve"> Group (detailed further below) helps the LCJP’s Victim and Witness Group to identify gaps in service provision.</w:t>
      </w:r>
    </w:p>
    <w:p w14:paraId="4317E19B" w14:textId="77777777" w:rsidR="00981EA9" w:rsidRDefault="00981EA9">
      <w:pPr>
        <w:pStyle w:val="ListParagraph"/>
        <w:spacing w:after="0" w:line="240" w:lineRule="auto"/>
        <w:ind w:left="792"/>
        <w:jc w:val="both"/>
        <w:rPr>
          <w:rFonts w:ascii="Arial" w:eastAsia="Times New Roman" w:hAnsi="Arial" w:cs="Arial"/>
          <w:sz w:val="24"/>
          <w:szCs w:val="24"/>
        </w:rPr>
      </w:pPr>
    </w:p>
    <w:p w14:paraId="0636DFD6" w14:textId="77777777" w:rsidR="00981EA9" w:rsidRDefault="00BE4E19">
      <w:pPr>
        <w:pStyle w:val="ListParagraph"/>
        <w:numPr>
          <w:ilvl w:val="1"/>
          <w:numId w:val="2"/>
        </w:numPr>
        <w:spacing w:after="0" w:line="240" w:lineRule="auto"/>
      </w:pPr>
      <w:r>
        <w:rPr>
          <w:rFonts w:ascii="Arial" w:hAnsi="Arial" w:cs="Arial"/>
          <w:bCs/>
          <w:sz w:val="24"/>
          <w:szCs w:val="24"/>
          <w:u w:val="single"/>
        </w:rPr>
        <w:t>Victim centred criminal justice system processes</w:t>
      </w:r>
    </w:p>
    <w:p w14:paraId="0235D722"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The trial of the Criminal Justice Victim Liaison Officer is a significant part of this sectio</w:t>
      </w:r>
      <w:r>
        <w:rPr>
          <w:rFonts w:ascii="Arial" w:eastAsia="Times New Roman" w:hAnsi="Arial" w:cs="Arial"/>
          <w:sz w:val="24"/>
          <w:szCs w:val="24"/>
        </w:rPr>
        <w:t>n of work (further detail below).</w:t>
      </w:r>
    </w:p>
    <w:p w14:paraId="668AE447" w14:textId="77777777" w:rsidR="00981EA9" w:rsidRDefault="00981EA9">
      <w:pPr>
        <w:pStyle w:val="ListParagraph"/>
        <w:spacing w:after="0" w:line="240" w:lineRule="auto"/>
        <w:ind w:left="792"/>
        <w:jc w:val="both"/>
        <w:rPr>
          <w:rFonts w:ascii="Arial" w:eastAsia="Times New Roman" w:hAnsi="Arial" w:cs="Arial"/>
          <w:sz w:val="24"/>
          <w:szCs w:val="24"/>
        </w:rPr>
      </w:pPr>
    </w:p>
    <w:p w14:paraId="79646915" w14:textId="77777777" w:rsidR="00981EA9" w:rsidRDefault="00BE4E19">
      <w:pPr>
        <w:pStyle w:val="ListParagraph"/>
        <w:numPr>
          <w:ilvl w:val="1"/>
          <w:numId w:val="2"/>
        </w:numPr>
        <w:spacing w:after="0" w:line="240" w:lineRule="auto"/>
      </w:pPr>
      <w:r>
        <w:rPr>
          <w:rFonts w:ascii="Arial" w:hAnsi="Arial" w:cs="Arial"/>
          <w:bCs/>
          <w:sz w:val="24"/>
          <w:szCs w:val="24"/>
          <w:u w:val="single"/>
        </w:rPr>
        <w:t>Performance management</w:t>
      </w:r>
    </w:p>
    <w:p w14:paraId="1C20540D"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A performance framework group has worked to develop a performance management framework to enable better monitoring against outcomes and the delivery plan. This is now in place.</w:t>
      </w:r>
    </w:p>
    <w:p w14:paraId="1F452F4C" w14:textId="77777777" w:rsidR="00981EA9" w:rsidRDefault="00981EA9">
      <w:pPr>
        <w:pStyle w:val="ListParagraph"/>
        <w:spacing w:after="0" w:line="240" w:lineRule="auto"/>
        <w:ind w:left="792"/>
        <w:jc w:val="both"/>
        <w:rPr>
          <w:rFonts w:ascii="Arial" w:eastAsia="Times New Roman" w:hAnsi="Arial" w:cs="Arial"/>
          <w:sz w:val="24"/>
          <w:szCs w:val="24"/>
        </w:rPr>
      </w:pPr>
    </w:p>
    <w:p w14:paraId="3C342F68" w14:textId="77777777" w:rsidR="00981EA9" w:rsidRDefault="00BE4E19">
      <w:pPr>
        <w:pStyle w:val="ListParagraph"/>
        <w:numPr>
          <w:ilvl w:val="1"/>
          <w:numId w:val="2"/>
        </w:numPr>
        <w:spacing w:after="0" w:line="240" w:lineRule="auto"/>
      </w:pPr>
      <w:r>
        <w:rPr>
          <w:rFonts w:ascii="Arial" w:hAnsi="Arial" w:cs="Arial"/>
          <w:bCs/>
          <w:sz w:val="24"/>
          <w:szCs w:val="24"/>
          <w:u w:val="single"/>
        </w:rPr>
        <w:t xml:space="preserve">Awareness </w:t>
      </w:r>
      <w:r>
        <w:rPr>
          <w:rFonts w:ascii="Arial" w:hAnsi="Arial" w:cs="Arial"/>
          <w:bCs/>
          <w:sz w:val="24"/>
          <w:szCs w:val="24"/>
          <w:u w:val="single"/>
        </w:rPr>
        <w:t>raising</w:t>
      </w:r>
    </w:p>
    <w:p w14:paraId="390B767C" w14:textId="77777777" w:rsidR="00981EA9" w:rsidRDefault="00BE4E19">
      <w:pPr>
        <w:pStyle w:val="ListParagraph"/>
        <w:spacing w:after="0" w:line="240" w:lineRule="auto"/>
        <w:ind w:left="792"/>
        <w:jc w:val="both"/>
        <w:rPr>
          <w:rFonts w:ascii="Arial" w:eastAsia="Times New Roman" w:hAnsi="Arial" w:cs="Arial"/>
          <w:sz w:val="24"/>
          <w:szCs w:val="24"/>
        </w:rPr>
      </w:pPr>
      <w:r>
        <w:rPr>
          <w:rFonts w:ascii="Arial" w:eastAsia="Times New Roman" w:hAnsi="Arial" w:cs="Arial"/>
          <w:sz w:val="24"/>
          <w:szCs w:val="24"/>
        </w:rPr>
        <w:t xml:space="preserve">Work is ongoing to develop a communications plan – and to ensure improved understanding among partners of one another’s work. </w:t>
      </w:r>
    </w:p>
    <w:p w14:paraId="07CD3463" w14:textId="77777777" w:rsidR="00981EA9" w:rsidRDefault="00981EA9">
      <w:pPr>
        <w:spacing w:after="0" w:line="240" w:lineRule="auto"/>
        <w:ind w:left="284"/>
        <w:rPr>
          <w:rFonts w:ascii="Arial" w:eastAsia="Times New Roman" w:hAnsi="Arial" w:cs="Arial"/>
          <w:sz w:val="24"/>
          <w:szCs w:val="24"/>
        </w:rPr>
      </w:pPr>
    </w:p>
    <w:p w14:paraId="665F7C6D" w14:textId="77777777" w:rsidR="00981EA9" w:rsidRDefault="00BE4E19">
      <w:pPr>
        <w:pStyle w:val="ListParagraph"/>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VCAS is commissioned by the PCVC for Durham and the PCC for Cleveland. It, alongside other – more specialised – services</w:t>
      </w:r>
      <w:r>
        <w:rPr>
          <w:rFonts w:ascii="Arial" w:eastAsia="Times New Roman" w:hAnsi="Arial" w:cs="Arial"/>
          <w:sz w:val="24"/>
          <w:szCs w:val="24"/>
        </w:rPr>
        <w:t xml:space="preserve"> supports victims to cope and recover. As the current contract comes to an end, there will be a great deal of work ongoing to learn lessons ahead of recommissioning. The below graph shows the number of referrals received by VCAS over time.—the VCAS contrac</w:t>
      </w:r>
      <w:r>
        <w:rPr>
          <w:rFonts w:ascii="Arial" w:eastAsia="Times New Roman" w:hAnsi="Arial" w:cs="Arial"/>
          <w:sz w:val="24"/>
          <w:szCs w:val="24"/>
        </w:rPr>
        <w:t>t is running to September 2020 and work is underway to develop an improved contract specification.</w:t>
      </w:r>
    </w:p>
    <w:p w14:paraId="78353FDB" w14:textId="77777777" w:rsidR="00981EA9" w:rsidRDefault="00981EA9">
      <w:pPr>
        <w:pStyle w:val="ListParagraph"/>
        <w:spacing w:after="0" w:line="240" w:lineRule="auto"/>
        <w:ind w:left="360"/>
        <w:rPr>
          <w:rFonts w:ascii="Arial" w:eastAsia="Times New Roman" w:hAnsi="Arial" w:cs="Arial"/>
          <w:sz w:val="24"/>
          <w:szCs w:val="24"/>
        </w:rPr>
      </w:pPr>
    </w:p>
    <w:p w14:paraId="2DDFA1BB" w14:textId="77777777" w:rsidR="00981EA9" w:rsidRDefault="00BE4E19">
      <w:r>
        <w:rPr>
          <w:rFonts w:ascii="Arial" w:hAnsi="Arial" w:cs="Arial"/>
          <w:noProof/>
          <w:sz w:val="24"/>
          <w:szCs w:val="24"/>
          <w:lang w:eastAsia="en-GB"/>
        </w:rPr>
        <w:lastRenderedPageBreak/>
        <w:drawing>
          <wp:inline distT="0" distB="0" distL="0" distR="0" wp14:anchorId="1165F454" wp14:editId="0F5AF50A">
            <wp:extent cx="5467289" cy="3233345"/>
            <wp:effectExtent l="0" t="0" r="0" b="5155"/>
            <wp:docPr id="1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7836" t="25999" r="16253" b="16501"/>
                    <a:stretch>
                      <a:fillRect/>
                    </a:stretch>
                  </pic:blipFill>
                  <pic:spPr>
                    <a:xfrm>
                      <a:off x="0" y="0"/>
                      <a:ext cx="5467289" cy="3233345"/>
                    </a:xfrm>
                    <a:prstGeom prst="rect">
                      <a:avLst/>
                    </a:prstGeom>
                    <a:noFill/>
                    <a:ln>
                      <a:noFill/>
                      <a:prstDash/>
                    </a:ln>
                  </pic:spPr>
                </pic:pic>
              </a:graphicData>
            </a:graphic>
          </wp:inline>
        </w:drawing>
      </w:r>
    </w:p>
    <w:p w14:paraId="774C4F6F" w14:textId="77777777" w:rsidR="00981EA9" w:rsidRDefault="00981EA9">
      <w:pPr>
        <w:jc w:val="center"/>
        <w:rPr>
          <w:rFonts w:ascii="Arial" w:eastAsia="Times New Roman" w:hAnsi="Arial" w:cs="Arial"/>
          <w:sz w:val="24"/>
          <w:szCs w:val="24"/>
        </w:rPr>
      </w:pPr>
    </w:p>
    <w:p w14:paraId="4590409F" w14:textId="77777777" w:rsidR="00981EA9" w:rsidRDefault="00BE4E19">
      <w:pPr>
        <w:jc w:val="both"/>
        <w:rPr>
          <w:rFonts w:ascii="Arial" w:eastAsia="Times New Roman" w:hAnsi="Arial" w:cs="Arial"/>
          <w:i/>
          <w:sz w:val="24"/>
          <w:szCs w:val="24"/>
        </w:rPr>
      </w:pPr>
      <w:r>
        <w:rPr>
          <w:rFonts w:ascii="Arial" w:eastAsia="Times New Roman" w:hAnsi="Arial" w:cs="Arial"/>
          <w:i/>
          <w:sz w:val="24"/>
          <w:szCs w:val="24"/>
        </w:rPr>
        <w:t xml:space="preserve">Figure 12: Referrals into VCAS  </w:t>
      </w:r>
    </w:p>
    <w:p w14:paraId="4A0BF1CC" w14:textId="77777777" w:rsidR="00981EA9" w:rsidRDefault="00981EA9">
      <w:pPr>
        <w:jc w:val="both"/>
        <w:rPr>
          <w:rFonts w:ascii="Arial" w:eastAsia="Times New Roman" w:hAnsi="Arial" w:cs="Arial"/>
          <w:i/>
          <w:sz w:val="24"/>
          <w:szCs w:val="24"/>
        </w:rPr>
      </w:pPr>
    </w:p>
    <w:p w14:paraId="4747F760" w14:textId="77777777" w:rsidR="00981EA9" w:rsidRDefault="00BE4E19">
      <w:pPr>
        <w:jc w:val="both"/>
        <w:rPr>
          <w:rFonts w:ascii="Arial" w:eastAsia="Times New Roman" w:hAnsi="Arial" w:cs="Arial"/>
          <w:sz w:val="24"/>
          <w:szCs w:val="24"/>
        </w:rPr>
      </w:pPr>
      <w:r>
        <w:rPr>
          <w:rFonts w:ascii="Arial" w:eastAsia="Times New Roman" w:hAnsi="Arial" w:cs="Arial"/>
          <w:sz w:val="24"/>
          <w:szCs w:val="24"/>
        </w:rPr>
        <w:t>My office continues to work with the Constabulary to monitor these referral numbers.</w:t>
      </w:r>
    </w:p>
    <w:p w14:paraId="2EE9F6AB" w14:textId="77777777" w:rsidR="00981EA9" w:rsidRDefault="00981EA9">
      <w:pPr>
        <w:pStyle w:val="ListParagraph"/>
        <w:jc w:val="both"/>
        <w:rPr>
          <w:rFonts w:ascii="Arial" w:eastAsia="Times New Roman" w:hAnsi="Arial" w:cs="Arial"/>
          <w:sz w:val="24"/>
          <w:szCs w:val="24"/>
        </w:rPr>
      </w:pPr>
    </w:p>
    <w:p w14:paraId="60A8BAF6"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As briefly highlighted above, fee</w:t>
      </w:r>
      <w:r>
        <w:rPr>
          <w:rFonts w:ascii="Arial" w:eastAsia="Times New Roman" w:hAnsi="Arial" w:cs="Arial"/>
          <w:sz w:val="24"/>
          <w:szCs w:val="24"/>
        </w:rPr>
        <w:t xml:space="preserve">dback from the current pilot in Durham Crown Court of the Criminal Justice Victim Liaison Officer will inform the recommissioned service. The liaison is funded by the PCVC and delivered through VCAS; they work in partnership with relevant criminal justice </w:t>
      </w:r>
      <w:r>
        <w:rPr>
          <w:rFonts w:ascii="Arial" w:eastAsia="Times New Roman" w:hAnsi="Arial" w:cs="Arial"/>
          <w:sz w:val="24"/>
          <w:szCs w:val="24"/>
        </w:rPr>
        <w:t>agencies to help ensure that a victim’s voice is heard, that they feel safe, and that they are kept informed about the progress of their case.</w:t>
      </w:r>
    </w:p>
    <w:p w14:paraId="44195C17" w14:textId="77777777" w:rsidR="00981EA9" w:rsidRDefault="00981EA9">
      <w:pPr>
        <w:pStyle w:val="ListParagraph"/>
        <w:jc w:val="both"/>
        <w:rPr>
          <w:rFonts w:ascii="Arial" w:eastAsia="Times New Roman" w:hAnsi="Arial" w:cs="Arial"/>
          <w:sz w:val="24"/>
          <w:szCs w:val="24"/>
          <w:shd w:val="clear" w:color="auto" w:fill="FFFF00"/>
        </w:rPr>
      </w:pPr>
    </w:p>
    <w:p w14:paraId="1BEEA757"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More generally on support available, while VCAS remains the main support service for victims, I </w:t>
      </w:r>
      <w:r>
        <w:rPr>
          <w:rFonts w:ascii="Arial" w:eastAsia="Times New Roman" w:hAnsi="Arial" w:cs="Arial"/>
          <w:sz w:val="24"/>
          <w:szCs w:val="24"/>
        </w:rPr>
        <w:t>recognise that victims of certain crimes require a specialised element of support.</w:t>
      </w:r>
    </w:p>
    <w:p w14:paraId="2D9664F0" w14:textId="77777777" w:rsidR="00981EA9" w:rsidRDefault="00981EA9">
      <w:pPr>
        <w:pStyle w:val="ListParagraph"/>
        <w:jc w:val="both"/>
        <w:rPr>
          <w:rFonts w:ascii="Arial" w:eastAsia="Times New Roman" w:hAnsi="Arial" w:cs="Arial"/>
          <w:sz w:val="24"/>
          <w:szCs w:val="24"/>
        </w:rPr>
      </w:pPr>
    </w:p>
    <w:p w14:paraId="7DAB04BB"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Accordingly, some of the specialised services that support victims include:</w:t>
      </w:r>
    </w:p>
    <w:p w14:paraId="24E166F5" w14:textId="77777777" w:rsidR="00981EA9" w:rsidRDefault="00BE4E19">
      <w:pPr>
        <w:pStyle w:val="ListParagraph"/>
        <w:numPr>
          <w:ilvl w:val="1"/>
          <w:numId w:val="3"/>
        </w:numPr>
        <w:jc w:val="both"/>
        <w:rPr>
          <w:rFonts w:ascii="Arial" w:eastAsia="Times New Roman" w:hAnsi="Arial" w:cs="Arial"/>
          <w:sz w:val="24"/>
          <w:szCs w:val="24"/>
        </w:rPr>
      </w:pPr>
      <w:r>
        <w:rPr>
          <w:rFonts w:ascii="Arial" w:eastAsia="Times New Roman" w:hAnsi="Arial" w:cs="Arial"/>
          <w:sz w:val="24"/>
          <w:szCs w:val="24"/>
        </w:rPr>
        <w:t>the Rape and Sexual Abuse Counselling Centre (RSACC) – a charity which provides free and confide</w:t>
      </w:r>
      <w:r>
        <w:rPr>
          <w:rFonts w:ascii="Arial" w:eastAsia="Times New Roman" w:hAnsi="Arial" w:cs="Arial"/>
          <w:sz w:val="24"/>
          <w:szCs w:val="24"/>
        </w:rPr>
        <w:t xml:space="preserve">ntial counselling and advice for women and girls who have been raped, sexually abused, or have suffered domestic abuse; </w:t>
      </w:r>
    </w:p>
    <w:p w14:paraId="76378391" w14:textId="77777777" w:rsidR="00981EA9" w:rsidRDefault="00BE4E19">
      <w:pPr>
        <w:pStyle w:val="ListParagraph"/>
        <w:numPr>
          <w:ilvl w:val="1"/>
          <w:numId w:val="3"/>
        </w:numPr>
        <w:jc w:val="both"/>
        <w:rPr>
          <w:rFonts w:ascii="Arial" w:eastAsia="Times New Roman" w:hAnsi="Arial" w:cs="Arial"/>
          <w:sz w:val="24"/>
          <w:szCs w:val="24"/>
        </w:rPr>
      </w:pPr>
      <w:r>
        <w:rPr>
          <w:rFonts w:ascii="Arial" w:eastAsia="Times New Roman" w:hAnsi="Arial" w:cs="Arial"/>
          <w:sz w:val="24"/>
          <w:szCs w:val="24"/>
        </w:rPr>
        <w:t>the Sexual Assault Referral Centre (SARC), which offers forensic medical examination, advice, support, counselling and sexual health sc</w:t>
      </w:r>
      <w:r>
        <w:rPr>
          <w:rFonts w:ascii="Arial" w:eastAsia="Times New Roman" w:hAnsi="Arial" w:cs="Arial"/>
          <w:sz w:val="24"/>
          <w:szCs w:val="24"/>
        </w:rPr>
        <w:t xml:space="preserve">reening for </w:t>
      </w:r>
      <w:r>
        <w:rPr>
          <w:rFonts w:ascii="Arial" w:eastAsia="Times New Roman" w:hAnsi="Arial" w:cs="Arial"/>
          <w:sz w:val="24"/>
          <w:szCs w:val="24"/>
        </w:rPr>
        <w:lastRenderedPageBreak/>
        <w:t xml:space="preserve">people in County Durham and Darlington who have experienced rape or sexual assault; </w:t>
      </w:r>
    </w:p>
    <w:p w14:paraId="4ABF4537" w14:textId="77777777" w:rsidR="00981EA9" w:rsidRDefault="00BE4E19">
      <w:pPr>
        <w:pStyle w:val="ListParagraph"/>
        <w:numPr>
          <w:ilvl w:val="1"/>
          <w:numId w:val="3"/>
        </w:numPr>
        <w:jc w:val="both"/>
        <w:rPr>
          <w:rFonts w:ascii="Arial" w:eastAsia="Times New Roman" w:hAnsi="Arial" w:cs="Arial"/>
          <w:sz w:val="24"/>
          <w:szCs w:val="24"/>
        </w:rPr>
      </w:pPr>
      <w:r>
        <w:rPr>
          <w:rFonts w:ascii="Arial" w:eastAsia="Times New Roman" w:hAnsi="Arial" w:cs="Arial"/>
          <w:sz w:val="24"/>
          <w:szCs w:val="24"/>
        </w:rPr>
        <w:t xml:space="preserve">Harbour, which works with families and individuals who are affected by abuse from a partner, former partner or other family member; and </w:t>
      </w:r>
    </w:p>
    <w:p w14:paraId="26CF2C6B" w14:textId="77777777" w:rsidR="00981EA9" w:rsidRDefault="00BE4E19">
      <w:pPr>
        <w:pStyle w:val="ListParagraph"/>
        <w:numPr>
          <w:ilvl w:val="1"/>
          <w:numId w:val="3"/>
        </w:numPr>
        <w:jc w:val="both"/>
        <w:rPr>
          <w:rFonts w:ascii="Arial" w:eastAsia="Times New Roman" w:hAnsi="Arial" w:cs="Arial"/>
          <w:sz w:val="24"/>
          <w:szCs w:val="24"/>
        </w:rPr>
      </w:pPr>
      <w:r>
        <w:rPr>
          <w:rFonts w:ascii="Arial" w:eastAsia="Times New Roman" w:hAnsi="Arial" w:cs="Arial"/>
          <w:sz w:val="24"/>
          <w:szCs w:val="24"/>
        </w:rPr>
        <w:t xml:space="preserve">the Halo </w:t>
      </w:r>
      <w:r>
        <w:rPr>
          <w:rFonts w:ascii="Arial" w:eastAsia="Times New Roman" w:hAnsi="Arial" w:cs="Arial"/>
          <w:sz w:val="24"/>
          <w:szCs w:val="24"/>
        </w:rPr>
        <w:t>Project Charity, which supports victims with regard to those suffering abuse in the name of honour and those experiencing forced marriage.</w:t>
      </w:r>
    </w:p>
    <w:p w14:paraId="74E7CBC0" w14:textId="77777777" w:rsidR="00981EA9" w:rsidRDefault="00BE4E19">
      <w:pPr>
        <w:pStyle w:val="ListParagraph"/>
        <w:numPr>
          <w:ilvl w:val="1"/>
          <w:numId w:val="3"/>
        </w:numPr>
        <w:jc w:val="both"/>
        <w:rPr>
          <w:rFonts w:ascii="Arial" w:eastAsia="Times New Roman" w:hAnsi="Arial" w:cs="Arial"/>
          <w:sz w:val="24"/>
          <w:szCs w:val="24"/>
        </w:rPr>
      </w:pPr>
      <w:r>
        <w:rPr>
          <w:rFonts w:ascii="Arial" w:eastAsia="Times New Roman" w:hAnsi="Arial" w:cs="Arial"/>
          <w:sz w:val="24"/>
          <w:szCs w:val="24"/>
        </w:rPr>
        <w:t>Hate crime advocacy service HCAS- Evaluation underway this autumn with a view to any changes to arrangements from Sep</w:t>
      </w:r>
      <w:r>
        <w:rPr>
          <w:rFonts w:ascii="Arial" w:eastAsia="Times New Roman" w:hAnsi="Arial" w:cs="Arial"/>
          <w:sz w:val="24"/>
          <w:szCs w:val="24"/>
        </w:rPr>
        <w:t xml:space="preserve">tember 2020. </w:t>
      </w:r>
    </w:p>
    <w:p w14:paraId="7B807E81" w14:textId="77777777" w:rsidR="00981EA9" w:rsidRDefault="00BE4E19">
      <w:pPr>
        <w:pStyle w:val="ListParagraph"/>
        <w:numPr>
          <w:ilvl w:val="1"/>
          <w:numId w:val="3"/>
        </w:numPr>
        <w:jc w:val="both"/>
      </w:pPr>
      <w:r>
        <w:rPr>
          <w:rFonts w:ascii="Arial" w:hAnsi="Arial" w:cs="Arial"/>
          <w:sz w:val="24"/>
          <w:szCs w:val="24"/>
        </w:rPr>
        <w:t>Offer support to victims of road traffic collisions (RTCs) which have happened as a result of a crime. This is offered to families of, and witnesses to, RTCs, usually coming under the category of killed or seriously injured (KSI) (but not exc</w:t>
      </w:r>
      <w:r>
        <w:rPr>
          <w:rFonts w:ascii="Arial" w:hAnsi="Arial" w:cs="Arial"/>
          <w:sz w:val="24"/>
          <w:szCs w:val="24"/>
        </w:rPr>
        <w:t>lusively).</w:t>
      </w:r>
    </w:p>
    <w:p w14:paraId="0B822183" w14:textId="77777777" w:rsidR="00981EA9" w:rsidRDefault="00981EA9">
      <w:pPr>
        <w:pStyle w:val="ListParagraph"/>
        <w:jc w:val="both"/>
        <w:rPr>
          <w:rFonts w:ascii="Arial" w:eastAsia="Times New Roman" w:hAnsi="Arial" w:cs="Arial"/>
          <w:sz w:val="24"/>
          <w:szCs w:val="24"/>
        </w:rPr>
      </w:pPr>
    </w:p>
    <w:p w14:paraId="1A4C61CE"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In terms of these specialised areas, my office works to improve the way victims feel supported in a number of ways.</w:t>
      </w:r>
    </w:p>
    <w:p w14:paraId="7F50CCB0" w14:textId="77777777" w:rsidR="00981EA9" w:rsidRDefault="00981EA9">
      <w:pPr>
        <w:pStyle w:val="ListParagraph"/>
        <w:ind w:left="360"/>
        <w:jc w:val="both"/>
        <w:rPr>
          <w:rFonts w:ascii="Arial" w:eastAsia="Times New Roman" w:hAnsi="Arial" w:cs="Arial"/>
          <w:sz w:val="24"/>
          <w:szCs w:val="24"/>
        </w:rPr>
      </w:pPr>
    </w:p>
    <w:p w14:paraId="59C96642"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With regard to sexual abuse, I have increased Independent Sexual Violence Advocate (ISVA) provision for victims across Durham w</w:t>
      </w:r>
      <w:r>
        <w:rPr>
          <w:rFonts w:ascii="Arial" w:eastAsia="Times New Roman" w:hAnsi="Arial" w:cs="Arial"/>
          <w:sz w:val="24"/>
          <w:szCs w:val="24"/>
        </w:rPr>
        <w:t>hich is delivered through RSACC.</w:t>
      </w:r>
    </w:p>
    <w:p w14:paraId="1E64E897" w14:textId="77777777" w:rsidR="00981EA9" w:rsidRDefault="00981EA9">
      <w:pPr>
        <w:pStyle w:val="ListParagraph"/>
        <w:jc w:val="both"/>
        <w:rPr>
          <w:rFonts w:ascii="Arial" w:eastAsia="Times New Roman" w:hAnsi="Arial" w:cs="Arial"/>
          <w:sz w:val="24"/>
          <w:szCs w:val="24"/>
        </w:rPr>
      </w:pPr>
    </w:p>
    <w:p w14:paraId="203BB0F0"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Tackling and preventing domestic abuse is a priority for me; my office therefore works with the Constabulary on this through ‘The Whole System Approach’ – a collaborative project across eight police force areas, and one th</w:t>
      </w:r>
      <w:r>
        <w:rPr>
          <w:rFonts w:ascii="Arial" w:eastAsia="Times New Roman" w:hAnsi="Arial" w:cs="Arial"/>
          <w:sz w:val="24"/>
          <w:szCs w:val="24"/>
        </w:rPr>
        <w:t xml:space="preserve">at seeks to transform domestic abuse services, deliver lasting change, positive outcomes for victims, and meaningful consequences for perpetrators.  </w:t>
      </w:r>
    </w:p>
    <w:p w14:paraId="2CFFB6FD" w14:textId="77777777" w:rsidR="00981EA9" w:rsidRDefault="00981EA9">
      <w:pPr>
        <w:pStyle w:val="ListParagraph"/>
        <w:rPr>
          <w:rFonts w:ascii="Arial" w:eastAsia="Times New Roman" w:hAnsi="Arial" w:cs="Arial"/>
          <w:sz w:val="24"/>
          <w:szCs w:val="24"/>
        </w:rPr>
      </w:pPr>
    </w:p>
    <w:p w14:paraId="691BCC8B"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On support for victims of hate crime, and as part of the work of the Joint Hate Crime Action Group, a rev</w:t>
      </w:r>
      <w:r>
        <w:rPr>
          <w:rFonts w:ascii="Arial" w:eastAsia="Times New Roman" w:hAnsi="Arial" w:cs="Arial"/>
          <w:sz w:val="24"/>
          <w:szCs w:val="24"/>
        </w:rPr>
        <w:t xml:space="preserve">iew of support for victims of hate crime is underway. </w:t>
      </w:r>
    </w:p>
    <w:p w14:paraId="6A82D905" w14:textId="77777777" w:rsidR="00981EA9" w:rsidRDefault="00981EA9">
      <w:pPr>
        <w:pStyle w:val="ListParagraph"/>
        <w:rPr>
          <w:rFonts w:ascii="Arial" w:eastAsia="Times New Roman" w:hAnsi="Arial" w:cs="Arial"/>
          <w:sz w:val="24"/>
          <w:szCs w:val="24"/>
        </w:rPr>
      </w:pPr>
    </w:p>
    <w:p w14:paraId="38CC7D91"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More broadly, other work is ongoing, directed by the LCJP’s Victim and Witness Group which established a task and finish group to understand the current provision of services for young victims of crim</w:t>
      </w:r>
      <w:r>
        <w:rPr>
          <w:rFonts w:ascii="Arial" w:eastAsia="Times New Roman" w:hAnsi="Arial" w:cs="Arial"/>
          <w:sz w:val="24"/>
          <w:szCs w:val="24"/>
        </w:rPr>
        <w:t>e. This work is ongoing.</w:t>
      </w:r>
    </w:p>
    <w:p w14:paraId="17F9FAF8" w14:textId="77777777" w:rsidR="00981EA9" w:rsidRDefault="00981EA9">
      <w:pPr>
        <w:pStyle w:val="ListParagraph"/>
        <w:jc w:val="both"/>
        <w:rPr>
          <w:rFonts w:ascii="Arial" w:eastAsia="Times New Roman" w:hAnsi="Arial" w:cs="Arial"/>
          <w:sz w:val="24"/>
          <w:szCs w:val="24"/>
        </w:rPr>
      </w:pPr>
    </w:p>
    <w:p w14:paraId="6C1DC705"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Taking this altogether, there is more work to do to develop the right model in supporting victims; and that is why the joint work of the LCJP – and work with other partners – remains critical. </w:t>
      </w:r>
    </w:p>
    <w:p w14:paraId="4D68FD3B" w14:textId="77777777" w:rsidR="00981EA9" w:rsidRDefault="00981EA9">
      <w:pPr>
        <w:pStyle w:val="ListParagraph"/>
        <w:jc w:val="both"/>
        <w:rPr>
          <w:rFonts w:ascii="Arial" w:eastAsia="Times New Roman" w:hAnsi="Arial" w:cs="Arial"/>
          <w:sz w:val="24"/>
          <w:szCs w:val="24"/>
        </w:rPr>
      </w:pPr>
    </w:p>
    <w:p w14:paraId="4FC7A85C"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lastRenderedPageBreak/>
        <w:t>Moving on, recorded victim satisfac</w:t>
      </w:r>
      <w:r>
        <w:rPr>
          <w:rFonts w:ascii="Arial" w:eastAsia="Times New Roman" w:hAnsi="Arial" w:cs="Arial"/>
          <w:sz w:val="24"/>
          <w:szCs w:val="24"/>
        </w:rPr>
        <w:t>tion is one of the indicators I monitor in holding the Constabulary to account over their service to victims.</w:t>
      </w:r>
    </w:p>
    <w:p w14:paraId="3992A8CA" w14:textId="77777777" w:rsidR="00981EA9" w:rsidRDefault="00981EA9">
      <w:pPr>
        <w:pStyle w:val="ListParagraph"/>
        <w:rPr>
          <w:rFonts w:ascii="Arial" w:eastAsia="Times New Roman" w:hAnsi="Arial" w:cs="Arial"/>
          <w:sz w:val="24"/>
          <w:szCs w:val="24"/>
        </w:rPr>
      </w:pPr>
    </w:p>
    <w:p w14:paraId="4A621F47" w14:textId="77777777" w:rsidR="00981EA9" w:rsidRDefault="00981EA9">
      <w:pPr>
        <w:pStyle w:val="ListParagraph"/>
        <w:ind w:left="360"/>
        <w:jc w:val="both"/>
        <w:rPr>
          <w:rFonts w:ascii="Arial" w:eastAsia="Times New Roman" w:hAnsi="Arial" w:cs="Arial"/>
          <w:sz w:val="24"/>
          <w:szCs w:val="24"/>
        </w:rPr>
      </w:pPr>
    </w:p>
    <w:p w14:paraId="3156D517" w14:textId="77777777" w:rsidR="00981EA9" w:rsidRDefault="00BE4E19">
      <w:pPr>
        <w:jc w:val="center"/>
      </w:pPr>
      <w:r>
        <w:rPr>
          <w:rFonts w:ascii="Arial" w:hAnsi="Arial" w:cs="Arial"/>
          <w:noProof/>
          <w:sz w:val="24"/>
          <w:szCs w:val="24"/>
          <w:lang w:eastAsia="en-GB"/>
        </w:rPr>
        <w:drawing>
          <wp:inline distT="0" distB="0" distL="0" distR="0" wp14:anchorId="2F772ECA" wp14:editId="0A4AD108">
            <wp:extent cx="5731514" cy="2762246"/>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399537" w14:textId="77777777" w:rsidR="00981EA9" w:rsidRDefault="00BE4E19">
      <w:pPr>
        <w:rPr>
          <w:rFonts w:ascii="Arial" w:eastAsia="Times New Roman" w:hAnsi="Arial" w:cs="Arial"/>
          <w:i/>
          <w:sz w:val="24"/>
          <w:szCs w:val="24"/>
        </w:rPr>
      </w:pPr>
      <w:r>
        <w:rPr>
          <w:rFonts w:ascii="Arial" w:eastAsia="Times New Roman" w:hAnsi="Arial" w:cs="Arial"/>
          <w:i/>
          <w:sz w:val="24"/>
          <w:szCs w:val="24"/>
        </w:rPr>
        <w:t xml:space="preserve">Figure 13: Percentage Satisfied with Whole Experience (All Crime)  </w:t>
      </w:r>
    </w:p>
    <w:p w14:paraId="1B1E5239" w14:textId="77777777" w:rsidR="00981EA9" w:rsidRDefault="00981EA9">
      <w:pPr>
        <w:pStyle w:val="ListParagraph"/>
        <w:ind w:left="360"/>
        <w:jc w:val="both"/>
        <w:rPr>
          <w:rFonts w:ascii="Arial" w:eastAsia="Times New Roman" w:hAnsi="Arial" w:cs="Arial"/>
          <w:sz w:val="24"/>
          <w:szCs w:val="24"/>
        </w:rPr>
      </w:pPr>
    </w:p>
    <w:p w14:paraId="7545164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Despite decreases since the last quarter in five out of six satisfaction </w:t>
      </w:r>
      <w:r>
        <w:rPr>
          <w:rFonts w:ascii="Arial" w:eastAsia="Times New Roman" w:hAnsi="Arial" w:cs="Arial"/>
          <w:sz w:val="24"/>
          <w:szCs w:val="24"/>
        </w:rPr>
        <w:t xml:space="preserve">categories; ‘whole experience’, ‘ease of contact’, ‘actions taken’, follow up received’ and ‘treatment’, the satisfaction levels remain within typical fluctuation patterns, and these satisfaction measures only tell part of the story. </w:t>
      </w:r>
    </w:p>
    <w:p w14:paraId="76742C6E" w14:textId="77777777" w:rsidR="00981EA9" w:rsidRDefault="00981EA9">
      <w:pPr>
        <w:pStyle w:val="ListParagraph"/>
        <w:ind w:left="360"/>
        <w:jc w:val="both"/>
        <w:rPr>
          <w:rFonts w:ascii="Arial" w:eastAsia="Times New Roman" w:hAnsi="Arial" w:cs="Arial"/>
          <w:sz w:val="24"/>
          <w:szCs w:val="24"/>
        </w:rPr>
      </w:pPr>
    </w:p>
    <w:p w14:paraId="61D9705E" w14:textId="77777777" w:rsidR="00981EA9" w:rsidRDefault="00BE4E19">
      <w:pPr>
        <w:pStyle w:val="ListParagraph"/>
        <w:numPr>
          <w:ilvl w:val="0"/>
          <w:numId w:val="1"/>
        </w:numPr>
        <w:jc w:val="both"/>
      </w:pPr>
      <w:r>
        <w:rPr>
          <w:rFonts w:ascii="Arial" w:eastAsia="Times New Roman" w:hAnsi="Arial" w:cs="Arial"/>
          <w:sz w:val="24"/>
          <w:szCs w:val="24"/>
        </w:rPr>
        <w:t xml:space="preserve">Indeed, </w:t>
      </w:r>
      <w:r>
        <w:rPr>
          <w:rFonts w:ascii="Arial" w:eastAsia="Times New Roman" w:hAnsi="Arial" w:cs="Arial"/>
          <w:sz w:val="24"/>
          <w:szCs w:val="24"/>
        </w:rPr>
        <w:t xml:space="preserve">understanding the </w:t>
      </w:r>
      <w:r>
        <w:rPr>
          <w:rFonts w:ascii="Arial" w:eastAsia="Times New Roman" w:hAnsi="Arial" w:cs="Arial"/>
          <w:i/>
          <w:sz w:val="24"/>
          <w:szCs w:val="24"/>
        </w:rPr>
        <w:t>experience</w:t>
      </w:r>
      <w:r>
        <w:rPr>
          <w:rFonts w:ascii="Arial" w:eastAsia="Times New Roman" w:hAnsi="Arial" w:cs="Arial"/>
          <w:sz w:val="24"/>
          <w:szCs w:val="24"/>
        </w:rPr>
        <w:t xml:space="preserve"> of victims – something which goes beyond measuring victim satisfaction – is important, and is undertaken by my office in a number of ways.</w:t>
      </w:r>
    </w:p>
    <w:p w14:paraId="6DB8C274" w14:textId="77777777" w:rsidR="00981EA9" w:rsidRDefault="00BE4E19">
      <w:pPr>
        <w:rPr>
          <w:rFonts w:ascii="Arial" w:eastAsia="Times New Roman" w:hAnsi="Arial" w:cs="Arial"/>
          <w:i/>
          <w:sz w:val="24"/>
          <w:szCs w:val="24"/>
        </w:rPr>
      </w:pPr>
      <w:r>
        <w:rPr>
          <w:rFonts w:ascii="Arial" w:eastAsia="Times New Roman" w:hAnsi="Arial" w:cs="Arial"/>
          <w:i/>
          <w:sz w:val="24"/>
          <w:szCs w:val="24"/>
        </w:rPr>
        <w:t>Victim experience</w:t>
      </w:r>
    </w:p>
    <w:p w14:paraId="6408C317"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Firstly, then, my office works with the Constabulary and others to </w:t>
      </w:r>
      <w:r>
        <w:rPr>
          <w:rFonts w:ascii="Arial" w:eastAsia="Times New Roman" w:hAnsi="Arial" w:cs="Arial"/>
          <w:sz w:val="24"/>
          <w:szCs w:val="24"/>
        </w:rPr>
        <w:t>undertake certain scrutiny work.</w:t>
      </w:r>
    </w:p>
    <w:p w14:paraId="3F313960" w14:textId="77777777" w:rsidR="00981EA9" w:rsidRDefault="00981EA9">
      <w:pPr>
        <w:pStyle w:val="ListParagraph"/>
        <w:jc w:val="both"/>
        <w:rPr>
          <w:rFonts w:ascii="Arial" w:eastAsia="Times New Roman" w:hAnsi="Arial" w:cs="Arial"/>
          <w:sz w:val="24"/>
          <w:szCs w:val="24"/>
        </w:rPr>
      </w:pPr>
    </w:p>
    <w:p w14:paraId="5E72E08E"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For example, the Rape Scrutiny Panel, which was established in line with the North East Regional Violence Against Women and Girls (VAWG) Strategy, works with Durham Constabulary to improve performance in the investigation </w:t>
      </w:r>
      <w:r>
        <w:rPr>
          <w:rFonts w:ascii="Arial" w:eastAsia="Times New Roman" w:hAnsi="Arial" w:cs="Arial"/>
          <w:sz w:val="24"/>
          <w:szCs w:val="24"/>
        </w:rPr>
        <w:t>of rape cases and to improve the service offered by the police to victims of rape.</w:t>
      </w:r>
    </w:p>
    <w:p w14:paraId="781D88C4" w14:textId="77777777" w:rsidR="00981EA9" w:rsidRDefault="00981EA9">
      <w:pPr>
        <w:pStyle w:val="ListParagraph"/>
        <w:rPr>
          <w:rFonts w:ascii="Arial" w:eastAsia="Times New Roman" w:hAnsi="Arial" w:cs="Arial"/>
          <w:sz w:val="24"/>
          <w:szCs w:val="24"/>
        </w:rPr>
      </w:pPr>
    </w:p>
    <w:p w14:paraId="2014B799"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lastRenderedPageBreak/>
        <w:t>Similarly, the Domestic Abuse Scrutiny Panel does the same with regard to cases of domestic violence, looking at such cases where there has not been a prosecution.</w:t>
      </w:r>
    </w:p>
    <w:p w14:paraId="55D42DBD" w14:textId="77777777" w:rsidR="00981EA9" w:rsidRDefault="00981EA9">
      <w:pPr>
        <w:pStyle w:val="ListParagraph"/>
        <w:rPr>
          <w:rFonts w:ascii="Arial" w:eastAsia="Times New Roman" w:hAnsi="Arial" w:cs="Arial"/>
          <w:sz w:val="24"/>
          <w:szCs w:val="24"/>
        </w:rPr>
      </w:pPr>
    </w:p>
    <w:p w14:paraId="47EB9E9A"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In addi</w:t>
      </w:r>
      <w:r>
        <w:rPr>
          <w:rFonts w:ascii="Arial" w:eastAsia="Times New Roman" w:hAnsi="Arial" w:cs="Arial"/>
          <w:sz w:val="24"/>
          <w:szCs w:val="24"/>
        </w:rPr>
        <w:t>tion to this work, the LCJP’s Victim and Witness Group established a working group which looks to build on anecdotal feedback received from victims in relation to their experience with the Criminal Justice System. These Root Cause Analysis groups report ba</w:t>
      </w:r>
      <w:r>
        <w:rPr>
          <w:rFonts w:ascii="Arial" w:eastAsia="Times New Roman" w:hAnsi="Arial" w:cs="Arial"/>
          <w:sz w:val="24"/>
          <w:szCs w:val="24"/>
        </w:rPr>
        <w:t>ck to the Victim and Witness Group on their findings, having identified issues within the current system, thereby aiding commissioning to help deliver improvements.</w:t>
      </w:r>
    </w:p>
    <w:p w14:paraId="353045D9" w14:textId="77777777" w:rsidR="00981EA9" w:rsidRDefault="00981EA9">
      <w:pPr>
        <w:pStyle w:val="ListParagraph"/>
        <w:rPr>
          <w:rFonts w:ascii="Arial" w:eastAsia="Times New Roman" w:hAnsi="Arial" w:cs="Arial"/>
          <w:sz w:val="24"/>
          <w:szCs w:val="24"/>
        </w:rPr>
      </w:pPr>
    </w:p>
    <w:p w14:paraId="17F46FC0"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Victim and Witness Group also receive detailed and meaningful performance reports from</w:t>
      </w:r>
      <w:r>
        <w:rPr>
          <w:rFonts w:ascii="Arial" w:eastAsia="Times New Roman" w:hAnsi="Arial" w:cs="Arial"/>
          <w:sz w:val="24"/>
          <w:szCs w:val="24"/>
        </w:rPr>
        <w:t xml:space="preserve"> an analyst working within and alongside my team to understand and measure progress.</w:t>
      </w:r>
    </w:p>
    <w:p w14:paraId="176FCB08" w14:textId="77777777" w:rsidR="00981EA9" w:rsidRDefault="00981EA9">
      <w:pPr>
        <w:pStyle w:val="ListParagraph"/>
        <w:rPr>
          <w:rFonts w:ascii="Arial" w:eastAsia="Times New Roman" w:hAnsi="Arial" w:cs="Arial"/>
          <w:sz w:val="24"/>
          <w:szCs w:val="24"/>
        </w:rPr>
      </w:pPr>
    </w:p>
    <w:p w14:paraId="36CCA0D0" w14:textId="77777777" w:rsidR="00981EA9" w:rsidRDefault="00BE4E19">
      <w:pPr>
        <w:rPr>
          <w:rFonts w:ascii="Arial" w:eastAsia="Times New Roman" w:hAnsi="Arial" w:cs="Arial"/>
          <w:sz w:val="24"/>
          <w:szCs w:val="24"/>
          <w:u w:val="single"/>
        </w:rPr>
      </w:pPr>
      <w:r>
        <w:rPr>
          <w:rFonts w:ascii="Arial" w:eastAsia="Times New Roman" w:hAnsi="Arial" w:cs="Arial"/>
          <w:sz w:val="24"/>
          <w:szCs w:val="24"/>
          <w:u w:val="single"/>
        </w:rPr>
        <w:t>KPQ4: How well are vulnerable people supported?</w:t>
      </w:r>
    </w:p>
    <w:p w14:paraId="63421A29" w14:textId="77777777" w:rsidR="00981EA9" w:rsidRDefault="00981EA9">
      <w:pPr>
        <w:rPr>
          <w:rFonts w:ascii="Arial" w:eastAsia="Times New Roman" w:hAnsi="Arial" w:cs="Arial"/>
          <w:sz w:val="24"/>
          <w:szCs w:val="24"/>
          <w:u w:val="single"/>
        </w:rPr>
      </w:pPr>
    </w:p>
    <w:p w14:paraId="79F2857C"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Vulnerable people encompass a wide range of issues and persons; including but not limited to: alcohol and drugs, mental h</w:t>
      </w:r>
      <w:r>
        <w:rPr>
          <w:rFonts w:ascii="Arial" w:eastAsia="Times New Roman" w:hAnsi="Arial" w:cs="Arial"/>
          <w:sz w:val="24"/>
          <w:szCs w:val="24"/>
        </w:rPr>
        <w:t xml:space="preserve">ealth, domestic abuse victims, missing from home individuals, child and adult safeguarding, those who have fallen victim to human trafficking and modern slavery, and CSAE. </w:t>
      </w:r>
    </w:p>
    <w:p w14:paraId="67F7EA25" w14:textId="77777777" w:rsidR="00981EA9" w:rsidRDefault="00981EA9">
      <w:pPr>
        <w:pStyle w:val="ListParagraph"/>
        <w:ind w:left="360"/>
        <w:rPr>
          <w:rFonts w:ascii="Arial" w:eastAsia="Times New Roman" w:hAnsi="Arial" w:cs="Arial"/>
          <w:sz w:val="24"/>
          <w:szCs w:val="24"/>
        </w:rPr>
      </w:pPr>
    </w:p>
    <w:p w14:paraId="2CDE7046"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HMICFRS recently undertook an inspection of selected forces (which did not include</w:t>
      </w:r>
      <w:r>
        <w:rPr>
          <w:rFonts w:ascii="Arial" w:eastAsia="Times New Roman" w:hAnsi="Arial" w:cs="Arial"/>
          <w:sz w:val="24"/>
          <w:szCs w:val="24"/>
        </w:rPr>
        <w:t xml:space="preserve"> Durham Constabulary) in relation to crimes against older people. The Constabulary responds to the implications of thematic inspection which did not use the force as a case study. </w:t>
      </w:r>
    </w:p>
    <w:p w14:paraId="6C85F74E" w14:textId="77777777" w:rsidR="00981EA9" w:rsidRDefault="00981EA9">
      <w:pPr>
        <w:pStyle w:val="ListParagraph"/>
        <w:rPr>
          <w:rFonts w:ascii="Arial" w:eastAsia="Times New Roman" w:hAnsi="Arial" w:cs="Arial"/>
          <w:sz w:val="24"/>
          <w:szCs w:val="24"/>
        </w:rPr>
      </w:pPr>
    </w:p>
    <w:p w14:paraId="6A6D6F48" w14:textId="77777777" w:rsidR="00981EA9" w:rsidRDefault="00BE4E19">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 xml:space="preserve">Older people are supported in three core ways by Durham Constabulary: </w:t>
      </w:r>
    </w:p>
    <w:p w14:paraId="0353186B" w14:textId="77777777" w:rsidR="00981EA9" w:rsidRDefault="00981EA9">
      <w:pPr>
        <w:pStyle w:val="ListParagraph"/>
        <w:rPr>
          <w:rFonts w:ascii="Arial" w:eastAsia="Times New Roman" w:hAnsi="Arial" w:cs="Arial"/>
          <w:sz w:val="24"/>
          <w:szCs w:val="24"/>
        </w:rPr>
      </w:pPr>
    </w:p>
    <w:p w14:paraId="25DC6CA2" w14:textId="77777777" w:rsidR="00981EA9" w:rsidRDefault="00981EA9">
      <w:pPr>
        <w:pStyle w:val="ListParagraph"/>
        <w:ind w:left="360"/>
        <w:rPr>
          <w:rFonts w:ascii="Arial" w:eastAsia="Times New Roman" w:hAnsi="Arial" w:cs="Arial"/>
          <w:sz w:val="24"/>
          <w:szCs w:val="24"/>
        </w:rPr>
      </w:pPr>
    </w:p>
    <w:p w14:paraId="14403954" w14:textId="77777777" w:rsidR="00981EA9" w:rsidRDefault="00BE4E19">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O</w:t>
      </w:r>
      <w:r>
        <w:rPr>
          <w:rFonts w:ascii="Arial" w:eastAsia="Times New Roman" w:hAnsi="Arial" w:cs="Arial"/>
          <w:sz w:val="24"/>
          <w:szCs w:val="24"/>
        </w:rPr>
        <w:t xml:space="preserve">perational staff will identify concerns during their interaction with a vulnerable adult, and share the information with relevant safeguarding agencies through the completion of a Vulnerable Adult Concern form. </w:t>
      </w:r>
    </w:p>
    <w:p w14:paraId="7EE41804" w14:textId="77777777" w:rsidR="00981EA9" w:rsidRDefault="00BE4E19">
      <w:pPr>
        <w:pStyle w:val="ListParagraph"/>
        <w:numPr>
          <w:ilvl w:val="0"/>
          <w:numId w:val="4"/>
        </w:numPr>
      </w:pPr>
      <w:r>
        <w:rPr>
          <w:rFonts w:ascii="Arial" w:eastAsia="Times New Roman" w:hAnsi="Arial" w:cs="Arial"/>
          <w:sz w:val="24"/>
          <w:szCs w:val="24"/>
        </w:rPr>
        <w:t>A THRIVE assessment is made on initial conta</w:t>
      </w:r>
      <w:r>
        <w:rPr>
          <w:rFonts w:ascii="Arial" w:eastAsia="Times New Roman" w:hAnsi="Arial" w:cs="Arial"/>
          <w:sz w:val="24"/>
          <w:szCs w:val="24"/>
        </w:rPr>
        <w:t xml:space="preserve">ct by the call handler who informs the attending officer of that assessment. Also in follow-up to the incident a further THRIVE assessment takes place and a bespoke victim contract is agreed. Continual THRIVE assessment is crucial to deliver the </w:t>
      </w:r>
      <w:r>
        <w:rPr>
          <w:rFonts w:ascii="Arial" w:eastAsia="Times New Roman" w:hAnsi="Arial" w:cs="Arial"/>
          <w:sz w:val="24"/>
          <w:szCs w:val="24"/>
        </w:rPr>
        <w:lastRenderedPageBreak/>
        <w:t>best servi</w:t>
      </w:r>
      <w:r>
        <w:rPr>
          <w:rFonts w:ascii="Arial" w:eastAsia="Times New Roman" w:hAnsi="Arial" w:cs="Arial"/>
          <w:sz w:val="24"/>
          <w:szCs w:val="24"/>
        </w:rPr>
        <w:t xml:space="preserve">ce to vulnerable people. This allows </w:t>
      </w:r>
      <w:r>
        <w:rPr>
          <w:rFonts w:ascii="Arial" w:hAnsi="Arial" w:cs="Arial"/>
          <w:sz w:val="24"/>
          <w:szCs w:val="24"/>
        </w:rPr>
        <w:t xml:space="preserve">appropriate adults being sought and also specialist intermediaries, if required, to support our victim. </w:t>
      </w:r>
    </w:p>
    <w:p w14:paraId="0F7A3CC1" w14:textId="77777777" w:rsidR="00981EA9" w:rsidRDefault="00BE4E19">
      <w:pPr>
        <w:pStyle w:val="ListParagraph"/>
        <w:numPr>
          <w:ilvl w:val="0"/>
          <w:numId w:val="4"/>
        </w:numPr>
      </w:pPr>
      <w:r>
        <w:rPr>
          <w:rFonts w:ascii="Arial" w:hAnsi="Arial" w:cs="Arial"/>
          <w:sz w:val="24"/>
          <w:szCs w:val="24"/>
        </w:rPr>
        <w:t>Victims, or indeed people who have been affected during the crime, can be referred to our commissioned victim care</w:t>
      </w:r>
      <w:r>
        <w:rPr>
          <w:rFonts w:ascii="Arial" w:hAnsi="Arial" w:cs="Arial"/>
          <w:sz w:val="24"/>
          <w:szCs w:val="24"/>
        </w:rPr>
        <w:t xml:space="preserve"> service, VCAS (Victim Care and Advice Service), where they can review the information recorded and make a further needs assessment to ensure the correct level of support is provided by the correct support agency. </w:t>
      </w:r>
    </w:p>
    <w:p w14:paraId="5F796FC9" w14:textId="77777777" w:rsidR="00981EA9" w:rsidRDefault="00BE4E19">
      <w:pPr>
        <w:rPr>
          <w:rFonts w:ascii="Arial" w:eastAsia="Times New Roman" w:hAnsi="Arial" w:cs="Arial"/>
          <w:i/>
          <w:sz w:val="24"/>
          <w:szCs w:val="24"/>
        </w:rPr>
      </w:pPr>
      <w:r>
        <w:rPr>
          <w:rFonts w:ascii="Arial" w:eastAsia="Times New Roman" w:hAnsi="Arial" w:cs="Arial"/>
          <w:i/>
          <w:sz w:val="24"/>
          <w:szCs w:val="24"/>
        </w:rPr>
        <w:t>Modern Slavery</w:t>
      </w:r>
    </w:p>
    <w:p w14:paraId="50C24A49" w14:textId="77777777" w:rsidR="00981EA9" w:rsidRDefault="00BE4E19">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 xml:space="preserve">Intelligence and </w:t>
      </w:r>
      <w:r>
        <w:rPr>
          <w:rFonts w:ascii="Arial" w:eastAsia="Times New Roman" w:hAnsi="Arial" w:cs="Arial"/>
          <w:sz w:val="24"/>
          <w:szCs w:val="24"/>
        </w:rPr>
        <w:t>incident reports and crime investigations relating to Modern Slavery and Human Trafficking (MSHT) remain low across County Durham and Darlington.  Despite this, the Constabulary has a MSHT action plan which, because of the cross-boundary nature of these cr</w:t>
      </w:r>
      <w:r>
        <w:rPr>
          <w:rFonts w:ascii="Arial" w:eastAsia="Times New Roman" w:hAnsi="Arial" w:cs="Arial"/>
          <w:sz w:val="24"/>
          <w:szCs w:val="24"/>
        </w:rPr>
        <w:t>imes, mirrors regional and national action plans. There is no dedicated MSHT team in the Constabulary but it is a standing agenda at high level strategic meetings, where responsibilities to identify and review the quantity and quality of investigations and</w:t>
      </w:r>
      <w:r>
        <w:rPr>
          <w:rFonts w:ascii="Arial" w:eastAsia="Times New Roman" w:hAnsi="Arial" w:cs="Arial"/>
          <w:sz w:val="24"/>
          <w:szCs w:val="24"/>
        </w:rPr>
        <w:t xml:space="preserve"> intelligence for their area is emphasised. </w:t>
      </w:r>
    </w:p>
    <w:p w14:paraId="48A8AB4F" w14:textId="77777777" w:rsidR="00981EA9" w:rsidRDefault="00981EA9">
      <w:pPr>
        <w:spacing w:after="0" w:line="240" w:lineRule="auto"/>
        <w:ind w:left="360"/>
        <w:rPr>
          <w:rFonts w:ascii="Arial" w:eastAsia="Times New Roman" w:hAnsi="Arial" w:cs="Arial"/>
          <w:sz w:val="24"/>
          <w:szCs w:val="24"/>
        </w:rPr>
      </w:pPr>
    </w:p>
    <w:p w14:paraId="09C0D8E8" w14:textId="77777777" w:rsidR="00981EA9" w:rsidRDefault="00BE4E19">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Effective collaboration across partner agencies is an essential element of identifying and addressing MSHT.  Subsequently, this issue is a regular and routine agenda item on both Adult and Children’s Safeguardi</w:t>
      </w:r>
      <w:r>
        <w:rPr>
          <w:rFonts w:ascii="Arial" w:eastAsia="Times New Roman" w:hAnsi="Arial" w:cs="Arial"/>
          <w:sz w:val="24"/>
          <w:szCs w:val="24"/>
        </w:rPr>
        <w:t>ng Boards. Separately, a Memorandum of Understanding has been developed and agreed between the Constabulary, Durham County Council and Darlington Borough Council. This ensures that victims of MSHT are managed within safeguarding procedures as part of a str</w:t>
      </w:r>
      <w:r>
        <w:rPr>
          <w:rFonts w:ascii="Arial" w:eastAsia="Times New Roman" w:hAnsi="Arial" w:cs="Arial"/>
          <w:sz w:val="24"/>
          <w:szCs w:val="24"/>
        </w:rPr>
        <w:t>ategy meeting.</w:t>
      </w:r>
    </w:p>
    <w:p w14:paraId="464E02A4" w14:textId="77777777" w:rsidR="00981EA9" w:rsidRDefault="00981EA9">
      <w:pPr>
        <w:spacing w:after="0" w:line="240" w:lineRule="auto"/>
        <w:rPr>
          <w:rFonts w:ascii="Arial" w:eastAsia="Times New Roman" w:hAnsi="Arial" w:cs="Arial"/>
          <w:sz w:val="24"/>
          <w:szCs w:val="24"/>
        </w:rPr>
      </w:pPr>
    </w:p>
    <w:p w14:paraId="39C8168F" w14:textId="77777777" w:rsidR="00981EA9" w:rsidRDefault="00BE4E19">
      <w:pPr>
        <w:pStyle w:val="ListParagraph"/>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Guides and best practice material have been produced and are available for all staff and this compliments multiple training packages that are delivered on of which being the internal ‘Safeguarding First Responder’ package.  A Cohort of Dete</w:t>
      </w:r>
      <w:r>
        <w:rPr>
          <w:rFonts w:ascii="Arial" w:eastAsia="Times New Roman" w:hAnsi="Arial" w:cs="Arial"/>
          <w:sz w:val="24"/>
          <w:szCs w:val="24"/>
        </w:rPr>
        <w:t>ctives from various ranks have received enhanced, accredited training and awareness for MSHT.  North East Regional Special Operations Unit (NERSOU) training on MSHT was most recently delivered in December 2019 to investigators and file builders in response</w:t>
      </w:r>
      <w:r>
        <w:rPr>
          <w:rFonts w:ascii="Arial" w:eastAsia="Times New Roman" w:hAnsi="Arial" w:cs="Arial"/>
          <w:sz w:val="24"/>
          <w:szCs w:val="24"/>
        </w:rPr>
        <w:t xml:space="preserve"> to concerns raised around the lack of successful prosecutions.  </w:t>
      </w:r>
    </w:p>
    <w:p w14:paraId="4C1642A4" w14:textId="77777777" w:rsidR="00981EA9" w:rsidRDefault="00981EA9">
      <w:pPr>
        <w:spacing w:after="0" w:line="240" w:lineRule="auto"/>
        <w:ind w:left="720"/>
        <w:rPr>
          <w:rFonts w:ascii="Arial" w:eastAsia="Times New Roman" w:hAnsi="Arial" w:cs="Arial"/>
          <w:sz w:val="24"/>
          <w:szCs w:val="24"/>
        </w:rPr>
      </w:pPr>
    </w:p>
    <w:p w14:paraId="0D076D7D" w14:textId="77777777" w:rsidR="00981EA9" w:rsidRDefault="00BE4E19">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There is currently no designated Victim Reception Centre in County Durham or Darlington. However, there is future scope to utilise different neighbouring Local Authority area facilities. Se</w:t>
      </w:r>
      <w:r>
        <w:rPr>
          <w:rFonts w:ascii="Arial" w:eastAsia="Times New Roman" w:hAnsi="Arial" w:cs="Arial"/>
          <w:sz w:val="24"/>
          <w:szCs w:val="24"/>
        </w:rPr>
        <w:t>parately, planned operations always have robust engagement from all partners, in particular the Fire Service, when accommodation is required.  Reactive operations have previously been more problematic but now that cases are discussed in the context of safe</w:t>
      </w:r>
      <w:r>
        <w:rPr>
          <w:rFonts w:ascii="Arial" w:eastAsia="Times New Roman" w:hAnsi="Arial" w:cs="Arial"/>
          <w:sz w:val="24"/>
          <w:szCs w:val="24"/>
        </w:rPr>
        <w:t>guarding processes, the required partners involved and a Memorandum of Understanding in place, issues relating to ongoing accommodation have eased.</w:t>
      </w:r>
    </w:p>
    <w:p w14:paraId="71001B11" w14:textId="77777777" w:rsidR="00981EA9" w:rsidRDefault="00981EA9">
      <w:pPr>
        <w:spacing w:after="0" w:line="240" w:lineRule="auto"/>
        <w:rPr>
          <w:rFonts w:ascii="Arial" w:eastAsia="Times New Roman" w:hAnsi="Arial" w:cs="Arial"/>
          <w:sz w:val="24"/>
          <w:szCs w:val="24"/>
        </w:rPr>
      </w:pPr>
    </w:p>
    <w:p w14:paraId="2C1B4008" w14:textId="77777777" w:rsidR="00981EA9" w:rsidRDefault="00BE4E19">
      <w:pPr>
        <w:numPr>
          <w:ilvl w:val="0"/>
          <w:numId w:val="1"/>
        </w:numPr>
        <w:spacing w:after="0" w:line="240" w:lineRule="auto"/>
        <w:rPr>
          <w:rFonts w:ascii="Arial" w:eastAsia="Times New Roman" w:hAnsi="Arial" w:cs="Arial"/>
          <w:sz w:val="24"/>
          <w:szCs w:val="24"/>
        </w:rPr>
      </w:pPr>
      <w:r>
        <w:rPr>
          <w:rFonts w:ascii="Arial" w:eastAsia="Times New Roman" w:hAnsi="Arial" w:cs="Arial"/>
          <w:sz w:val="24"/>
          <w:szCs w:val="24"/>
        </w:rPr>
        <w:t>A Modern Slavery Toolkit for Police and Crime Commissioners has been developed and we will be using this to</w:t>
      </w:r>
      <w:r>
        <w:rPr>
          <w:rFonts w:ascii="Arial" w:eastAsia="Times New Roman" w:hAnsi="Arial" w:cs="Arial"/>
          <w:sz w:val="24"/>
          <w:szCs w:val="24"/>
        </w:rPr>
        <w:t xml:space="preserve"> better understand MSHT both nationally and regionally and enable a regular review of our local picture.  The toolkit includes best practice in respect of commissioning and ensuring access to victim support services appropriate to local requirements, the b</w:t>
      </w:r>
      <w:r>
        <w:rPr>
          <w:rFonts w:ascii="Arial" w:eastAsia="Times New Roman" w:hAnsi="Arial" w:cs="Arial"/>
          <w:sz w:val="24"/>
          <w:szCs w:val="24"/>
        </w:rPr>
        <w:t xml:space="preserve">enefits of local, regional </w:t>
      </w:r>
      <w:r>
        <w:rPr>
          <w:rFonts w:ascii="Arial" w:eastAsia="Times New Roman" w:hAnsi="Arial" w:cs="Arial"/>
          <w:sz w:val="24"/>
          <w:szCs w:val="24"/>
        </w:rPr>
        <w:lastRenderedPageBreak/>
        <w:t>and national Modern Slavery Networks and our responsibility to hold others to account and ensure there is an effective, collaborative multi-agency response to modern slavery and exploitation.</w:t>
      </w:r>
    </w:p>
    <w:p w14:paraId="2C743944" w14:textId="77777777" w:rsidR="00981EA9" w:rsidRDefault="00981EA9">
      <w:pPr>
        <w:spacing w:after="0" w:line="240" w:lineRule="auto"/>
        <w:rPr>
          <w:rFonts w:ascii="Arial" w:eastAsia="Times New Roman" w:hAnsi="Arial" w:cs="Arial"/>
          <w:color w:val="00B050"/>
          <w:sz w:val="24"/>
          <w:szCs w:val="24"/>
        </w:rPr>
      </w:pPr>
    </w:p>
    <w:p w14:paraId="01C5AEB0" w14:textId="77777777" w:rsidR="00981EA9" w:rsidRDefault="00981EA9">
      <w:pPr>
        <w:spacing w:after="0" w:line="240" w:lineRule="auto"/>
        <w:rPr>
          <w:rFonts w:ascii="Arial" w:eastAsia="Times New Roman" w:hAnsi="Arial" w:cs="Arial"/>
          <w:color w:val="00B050"/>
          <w:sz w:val="24"/>
          <w:szCs w:val="24"/>
        </w:rPr>
      </w:pPr>
    </w:p>
    <w:p w14:paraId="17CB4645" w14:textId="77777777" w:rsidR="00981EA9" w:rsidRDefault="00981EA9">
      <w:pPr>
        <w:pStyle w:val="ListParagraph"/>
        <w:ind w:left="360"/>
        <w:rPr>
          <w:rFonts w:ascii="Arial" w:eastAsia="Times New Roman" w:hAnsi="Arial" w:cs="Arial"/>
          <w:color w:val="FF0000"/>
          <w:sz w:val="24"/>
          <w:szCs w:val="24"/>
          <w:u w:val="single"/>
        </w:rPr>
      </w:pPr>
    </w:p>
    <w:p w14:paraId="6C537E9C" w14:textId="77777777" w:rsidR="00981EA9" w:rsidRDefault="00981EA9">
      <w:pPr>
        <w:pStyle w:val="ListParagraph"/>
        <w:rPr>
          <w:rFonts w:ascii="Arial" w:eastAsia="Times New Roman" w:hAnsi="Arial" w:cs="Arial"/>
          <w:color w:val="FF0000"/>
          <w:sz w:val="24"/>
          <w:szCs w:val="24"/>
        </w:rPr>
      </w:pPr>
    </w:p>
    <w:p w14:paraId="5A2D2AB2" w14:textId="77777777" w:rsidR="00981EA9" w:rsidRDefault="00981EA9">
      <w:pPr>
        <w:jc w:val="both"/>
        <w:rPr>
          <w:rFonts w:ascii="Arial" w:eastAsia="Times New Roman" w:hAnsi="Arial" w:cs="Arial"/>
          <w:color w:val="FF0000"/>
          <w:sz w:val="24"/>
          <w:szCs w:val="24"/>
        </w:rPr>
      </w:pPr>
    </w:p>
    <w:p w14:paraId="11CBCA9B" w14:textId="77777777" w:rsidR="00981EA9" w:rsidRDefault="00981EA9">
      <w:pPr>
        <w:jc w:val="both"/>
        <w:rPr>
          <w:rFonts w:ascii="Arial" w:eastAsia="Times New Roman" w:hAnsi="Arial" w:cs="Arial"/>
          <w:color w:val="FF0000"/>
          <w:sz w:val="24"/>
          <w:szCs w:val="24"/>
        </w:rPr>
      </w:pPr>
    </w:p>
    <w:p w14:paraId="52284AEA" w14:textId="77777777" w:rsidR="00981EA9" w:rsidRDefault="00981EA9">
      <w:pPr>
        <w:jc w:val="both"/>
        <w:rPr>
          <w:rFonts w:ascii="Arial" w:eastAsia="Times New Roman" w:hAnsi="Arial" w:cs="Arial"/>
          <w:color w:val="00B050"/>
          <w:sz w:val="24"/>
          <w:szCs w:val="24"/>
        </w:rPr>
      </w:pPr>
    </w:p>
    <w:p w14:paraId="6ECECC18" w14:textId="77777777" w:rsidR="00981EA9" w:rsidRDefault="00981EA9">
      <w:pPr>
        <w:jc w:val="both"/>
        <w:rPr>
          <w:rFonts w:ascii="Arial" w:eastAsia="Times New Roman" w:hAnsi="Arial" w:cs="Arial"/>
          <w:color w:val="00B050"/>
          <w:sz w:val="24"/>
          <w:szCs w:val="24"/>
        </w:rPr>
      </w:pPr>
    </w:p>
    <w:p w14:paraId="0E78B3CD" w14:textId="77777777" w:rsidR="00981EA9" w:rsidRDefault="00981EA9">
      <w:pPr>
        <w:jc w:val="both"/>
        <w:rPr>
          <w:rFonts w:ascii="Arial" w:eastAsia="Times New Roman" w:hAnsi="Arial" w:cs="Arial"/>
          <w:color w:val="00B050"/>
          <w:sz w:val="24"/>
          <w:szCs w:val="24"/>
        </w:rPr>
      </w:pPr>
    </w:p>
    <w:p w14:paraId="47967559" w14:textId="77777777" w:rsidR="00981EA9" w:rsidRDefault="00981EA9">
      <w:pPr>
        <w:jc w:val="both"/>
        <w:rPr>
          <w:rFonts w:ascii="Arial" w:eastAsia="Times New Roman" w:hAnsi="Arial" w:cs="Arial"/>
          <w:color w:val="00B050"/>
          <w:sz w:val="24"/>
          <w:szCs w:val="24"/>
        </w:rPr>
      </w:pPr>
    </w:p>
    <w:p w14:paraId="7220A1CF" w14:textId="77777777" w:rsidR="00981EA9" w:rsidRDefault="00981EA9">
      <w:pPr>
        <w:jc w:val="both"/>
        <w:rPr>
          <w:rFonts w:ascii="Arial" w:eastAsia="Times New Roman" w:hAnsi="Arial" w:cs="Arial"/>
          <w:color w:val="00B050"/>
          <w:sz w:val="24"/>
          <w:szCs w:val="24"/>
        </w:rPr>
      </w:pPr>
    </w:p>
    <w:p w14:paraId="68EC712A" w14:textId="77777777" w:rsidR="00981EA9" w:rsidRDefault="00BE4E19">
      <w:pPr>
        <w:rPr>
          <w:rFonts w:ascii="Arial" w:eastAsia="Times New Roman" w:hAnsi="Arial" w:cs="Arial"/>
          <w:i/>
          <w:sz w:val="24"/>
          <w:szCs w:val="24"/>
        </w:rPr>
      </w:pPr>
      <w:r>
        <w:rPr>
          <w:rFonts w:ascii="Arial" w:eastAsia="Times New Roman" w:hAnsi="Arial" w:cs="Arial"/>
          <w:i/>
          <w:sz w:val="24"/>
          <w:szCs w:val="24"/>
        </w:rPr>
        <w:t>Mental Health</w:t>
      </w:r>
    </w:p>
    <w:p w14:paraId="51BE58E9"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A </w:t>
      </w:r>
      <w:r>
        <w:rPr>
          <w:rFonts w:ascii="Arial" w:eastAsia="Times New Roman" w:hAnsi="Arial" w:cs="Arial"/>
          <w:sz w:val="24"/>
          <w:szCs w:val="24"/>
        </w:rPr>
        <w:t>significant number of incidents that the police deal with involve mental ill-health in one way or another.</w:t>
      </w:r>
    </w:p>
    <w:p w14:paraId="0E65B7C4" w14:textId="77777777" w:rsidR="00981EA9" w:rsidRDefault="00BE4E19">
      <w:pPr>
        <w:jc w:val="center"/>
      </w:pPr>
      <w:r>
        <w:rPr>
          <w:rFonts w:ascii="Arial" w:hAnsi="Arial" w:cs="Arial"/>
          <w:noProof/>
          <w:sz w:val="24"/>
          <w:szCs w:val="24"/>
          <w:lang w:eastAsia="en-GB"/>
        </w:rPr>
        <w:drawing>
          <wp:inline distT="0" distB="0" distL="0" distR="0" wp14:anchorId="7341C49E" wp14:editId="3D20E1C0">
            <wp:extent cx="5731514" cy="3211829"/>
            <wp:effectExtent l="0" t="0" r="0"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479ADD" w14:textId="77777777" w:rsidR="00981EA9" w:rsidRDefault="00BE4E19">
      <w:r>
        <w:rPr>
          <w:rFonts w:ascii="Arial" w:eastAsia="Times New Roman" w:hAnsi="Arial" w:cs="Arial"/>
          <w:i/>
          <w:sz w:val="24"/>
          <w:szCs w:val="24"/>
        </w:rPr>
        <w:t>Figure 14: Monthly Incidents with a ‘Mental Health’ Qualifier (Durham Constabulary)</w:t>
      </w:r>
    </w:p>
    <w:p w14:paraId="290D0720" w14:textId="77777777" w:rsidR="00981EA9" w:rsidRDefault="00981EA9">
      <w:pPr>
        <w:rPr>
          <w:rFonts w:ascii="Arial" w:eastAsia="Times New Roman" w:hAnsi="Arial" w:cs="Arial"/>
          <w:i/>
          <w:color w:val="00B050"/>
          <w:sz w:val="24"/>
          <w:szCs w:val="24"/>
        </w:rPr>
      </w:pPr>
    </w:p>
    <w:p w14:paraId="73D70D65" w14:textId="77777777" w:rsidR="00981EA9" w:rsidRDefault="00BE4E19">
      <w:pPr>
        <w:pStyle w:val="ListParagraph"/>
        <w:numPr>
          <w:ilvl w:val="0"/>
          <w:numId w:val="1"/>
        </w:numPr>
        <w:jc w:val="both"/>
        <w:rPr>
          <w:rFonts w:ascii="Arial" w:eastAsia="Times New Roman" w:hAnsi="Arial" w:cs="Arial"/>
          <w:sz w:val="24"/>
          <w:szCs w:val="24"/>
          <w:lang w:eastAsia="en-GB"/>
        </w:rPr>
      </w:pPr>
      <w:r>
        <w:rPr>
          <w:rFonts w:ascii="Arial" w:eastAsia="Times New Roman" w:hAnsi="Arial" w:cs="Arial"/>
          <w:sz w:val="24"/>
          <w:szCs w:val="24"/>
          <w:lang w:eastAsia="en-GB"/>
        </w:rPr>
        <w:t>The graph since July 2019 displays that incidents with a menta</w:t>
      </w:r>
      <w:r>
        <w:rPr>
          <w:rFonts w:ascii="Arial" w:eastAsia="Times New Roman" w:hAnsi="Arial" w:cs="Arial"/>
          <w:sz w:val="24"/>
          <w:szCs w:val="24"/>
          <w:lang w:eastAsia="en-GB"/>
        </w:rPr>
        <w:t xml:space="preserve">l health qualifier have remained reasonably consistent. The dramatic fall in numbers is attributed to a change in recording and data population. </w:t>
      </w:r>
    </w:p>
    <w:p w14:paraId="1C29D36E" w14:textId="77777777" w:rsidR="00981EA9" w:rsidRDefault="00981EA9">
      <w:pPr>
        <w:pStyle w:val="ListParagraph"/>
        <w:ind w:left="360"/>
        <w:jc w:val="both"/>
        <w:rPr>
          <w:rFonts w:ascii="Arial" w:eastAsia="Times New Roman" w:hAnsi="Arial" w:cs="Arial"/>
          <w:sz w:val="24"/>
          <w:szCs w:val="24"/>
          <w:lang w:eastAsia="en-GB"/>
        </w:rPr>
      </w:pPr>
    </w:p>
    <w:p w14:paraId="0BA0E0A1" w14:textId="77777777" w:rsidR="00981EA9" w:rsidRDefault="00BE4E19">
      <w:pPr>
        <w:pStyle w:val="ListParagraph"/>
        <w:numPr>
          <w:ilvl w:val="0"/>
          <w:numId w:val="1"/>
        </w:numPr>
        <w:jc w:val="both"/>
      </w:pPr>
      <w:r>
        <w:rPr>
          <w:rFonts w:ascii="Arial" w:eastAsia="Times New Roman" w:hAnsi="Arial" w:cs="Arial"/>
          <w:sz w:val="24"/>
          <w:szCs w:val="24"/>
        </w:rPr>
        <w:t>As shown in</w:t>
      </w:r>
      <w:r>
        <w:rPr>
          <w:rFonts w:ascii="Arial" w:eastAsia="Times New Roman" w:hAnsi="Arial" w:cs="Arial"/>
          <w:i/>
          <w:sz w:val="24"/>
          <w:szCs w:val="24"/>
        </w:rPr>
        <w:t xml:space="preserve"> Figure 14, </w:t>
      </w:r>
      <w:r>
        <w:rPr>
          <w:rFonts w:ascii="Arial" w:eastAsia="Times New Roman" w:hAnsi="Arial" w:cs="Arial"/>
          <w:sz w:val="24"/>
          <w:szCs w:val="24"/>
        </w:rPr>
        <w:t xml:space="preserve">since July 2019 to January 2020, incidents with a mental health qualifier have </w:t>
      </w:r>
      <w:r>
        <w:rPr>
          <w:rFonts w:ascii="Arial" w:eastAsia="Times New Roman" w:hAnsi="Arial" w:cs="Arial"/>
          <w:sz w:val="24"/>
          <w:szCs w:val="24"/>
        </w:rPr>
        <w:t xml:space="preserve">fluctuated steadily around the 1,000 mark. </w:t>
      </w:r>
    </w:p>
    <w:p w14:paraId="35D646C6" w14:textId="77777777" w:rsidR="00981EA9" w:rsidRDefault="00981EA9">
      <w:pPr>
        <w:jc w:val="both"/>
        <w:rPr>
          <w:rFonts w:ascii="Arial" w:eastAsia="Times New Roman" w:hAnsi="Arial" w:cs="Arial"/>
          <w:color w:val="FF0000"/>
          <w:sz w:val="24"/>
          <w:szCs w:val="24"/>
        </w:rPr>
      </w:pPr>
    </w:p>
    <w:p w14:paraId="7865DBF0" w14:textId="77777777" w:rsidR="00981EA9" w:rsidRDefault="00BE4E19">
      <w:pPr>
        <w:pStyle w:val="ListParagraph"/>
        <w:numPr>
          <w:ilvl w:val="0"/>
          <w:numId w:val="1"/>
        </w:numPr>
        <w:jc w:val="both"/>
      </w:pPr>
      <w:r>
        <w:rPr>
          <w:rFonts w:ascii="Arial" w:eastAsia="Times New Roman" w:hAnsi="Arial" w:cs="Arial"/>
          <w:sz w:val="24"/>
          <w:szCs w:val="24"/>
        </w:rPr>
        <w:t xml:space="preserve">And an average of 31% of mental health related calls in 2019 were supported by the Street Triage Team – mental health nurses co-located within the Constabulary. </w:t>
      </w:r>
      <w:r>
        <w:rPr>
          <w:rFonts w:ascii="Arial" w:hAnsi="Arial" w:cs="Arial"/>
          <w:sz w:val="24"/>
          <w:szCs w:val="24"/>
        </w:rPr>
        <w:t>The Street Triage Team now has a wider remit which</w:t>
      </w:r>
      <w:r>
        <w:rPr>
          <w:rFonts w:ascii="Arial" w:hAnsi="Arial" w:cs="Arial"/>
          <w:sz w:val="24"/>
          <w:szCs w:val="24"/>
        </w:rPr>
        <w:t xml:space="preserve"> includes working with NPT Officers to support people with mental health issues in non-crisis situations.</w:t>
      </w:r>
      <w:r>
        <w:rPr>
          <w:rFonts w:ascii="Arial" w:hAnsi="Arial" w:cs="Arial"/>
          <w:color w:val="FF0000"/>
          <w:sz w:val="24"/>
          <w:szCs w:val="24"/>
        </w:rPr>
        <w:t xml:space="preserve"> </w:t>
      </w:r>
    </w:p>
    <w:p w14:paraId="76B3875C" w14:textId="77777777" w:rsidR="00981EA9" w:rsidRDefault="00981EA9">
      <w:pPr>
        <w:pStyle w:val="ListParagraph"/>
        <w:jc w:val="both"/>
        <w:rPr>
          <w:rFonts w:ascii="Arial" w:eastAsia="Times New Roman" w:hAnsi="Arial" w:cs="Arial"/>
          <w:color w:val="FF0000"/>
          <w:sz w:val="24"/>
          <w:szCs w:val="24"/>
        </w:rPr>
      </w:pPr>
    </w:p>
    <w:p w14:paraId="605CDA51" w14:textId="77777777" w:rsidR="00981EA9" w:rsidRDefault="00BE4E19">
      <w:pPr>
        <w:pStyle w:val="ListParagraph"/>
        <w:numPr>
          <w:ilvl w:val="0"/>
          <w:numId w:val="1"/>
        </w:numPr>
        <w:jc w:val="both"/>
      </w:pPr>
      <w:r>
        <w:rPr>
          <w:rFonts w:ascii="Arial" w:eastAsia="Times New Roman" w:hAnsi="Arial" w:cs="Arial"/>
          <w:sz w:val="24"/>
          <w:szCs w:val="24"/>
        </w:rPr>
        <w:t>Something significant to note are changes, brought about in 2017, to the Mental Health Act which prohibited the detention of under 18s in police cus</w:t>
      </w:r>
      <w:r>
        <w:rPr>
          <w:rFonts w:ascii="Arial" w:eastAsia="Times New Roman" w:hAnsi="Arial" w:cs="Arial"/>
          <w:sz w:val="24"/>
          <w:szCs w:val="24"/>
        </w:rPr>
        <w:t>tody, and stressed that over 18s may be detained in only exceptional circumstances. In 2019, there was one detention in police custody as a ‘place of safety’ across Durham’s force area.</w:t>
      </w:r>
    </w:p>
    <w:p w14:paraId="6530460B" w14:textId="77777777" w:rsidR="00981EA9" w:rsidRDefault="00981EA9">
      <w:pPr>
        <w:pStyle w:val="ListParagraph"/>
        <w:jc w:val="both"/>
        <w:rPr>
          <w:rFonts w:ascii="Arial" w:eastAsia="Times New Roman" w:hAnsi="Arial" w:cs="Arial"/>
          <w:sz w:val="24"/>
          <w:szCs w:val="24"/>
        </w:rPr>
      </w:pPr>
    </w:p>
    <w:p w14:paraId="07FBEE10"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PCVC also promotes referral to Liaison and Diversion (L&amp;D) servic</w:t>
      </w:r>
      <w:r>
        <w:rPr>
          <w:rFonts w:ascii="Arial" w:eastAsia="Times New Roman" w:hAnsi="Arial" w:cs="Arial"/>
          <w:sz w:val="24"/>
          <w:szCs w:val="24"/>
        </w:rPr>
        <w:t>es. These identify people who may be vulnerable when they first come into contact with the Criminal Justice System (CJS). Indeed, the service can support people into appropriate health or social care.</w:t>
      </w:r>
    </w:p>
    <w:p w14:paraId="66E89C06" w14:textId="77777777" w:rsidR="00981EA9" w:rsidRDefault="00BE4E19">
      <w:pPr>
        <w:rPr>
          <w:rFonts w:ascii="Arial" w:eastAsia="Times New Roman" w:hAnsi="Arial" w:cs="Arial"/>
          <w:i/>
          <w:sz w:val="24"/>
          <w:szCs w:val="24"/>
        </w:rPr>
      </w:pPr>
      <w:r>
        <w:rPr>
          <w:rFonts w:ascii="Arial" w:eastAsia="Times New Roman" w:hAnsi="Arial" w:cs="Arial"/>
          <w:i/>
          <w:sz w:val="24"/>
          <w:szCs w:val="24"/>
        </w:rPr>
        <w:t>Educate and Raise Awareness of Sexual Exploitation (ERA</w:t>
      </w:r>
      <w:r>
        <w:rPr>
          <w:rFonts w:ascii="Arial" w:eastAsia="Times New Roman" w:hAnsi="Arial" w:cs="Arial"/>
          <w:i/>
          <w:sz w:val="24"/>
          <w:szCs w:val="24"/>
        </w:rPr>
        <w:t>SE)</w:t>
      </w:r>
    </w:p>
    <w:p w14:paraId="04B68593"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ERASE team focus on Child Sexual Exploitation (CSE) – as well as on missing children (given that this can be an indicator that a child is at increased risk of sexual exploitation).</w:t>
      </w:r>
    </w:p>
    <w:p w14:paraId="692F0163" w14:textId="77777777" w:rsidR="00981EA9" w:rsidRDefault="00981EA9">
      <w:pPr>
        <w:pStyle w:val="ListParagraph"/>
        <w:rPr>
          <w:rFonts w:ascii="Arial" w:eastAsia="Times New Roman" w:hAnsi="Arial" w:cs="Arial"/>
          <w:sz w:val="24"/>
          <w:szCs w:val="24"/>
        </w:rPr>
      </w:pPr>
    </w:p>
    <w:p w14:paraId="4B551A84"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As part of this programme of work, the Herbert and Philomena proto</w:t>
      </w:r>
      <w:r>
        <w:rPr>
          <w:rFonts w:ascii="Arial" w:eastAsia="Times New Roman" w:hAnsi="Arial" w:cs="Arial"/>
          <w:sz w:val="24"/>
          <w:szCs w:val="24"/>
        </w:rPr>
        <w:t>cols are two schemes which look to help prevent vulnerable adults, and children in care, respectively, from going missing – and in the case of someone going missing, to help to find them more quickly.</w:t>
      </w:r>
    </w:p>
    <w:p w14:paraId="1AE714D8" w14:textId="77777777" w:rsidR="00981EA9" w:rsidRDefault="00981EA9">
      <w:pPr>
        <w:pStyle w:val="ListParagraph"/>
        <w:rPr>
          <w:rFonts w:ascii="Arial" w:eastAsia="Times New Roman" w:hAnsi="Arial" w:cs="Arial"/>
          <w:sz w:val="24"/>
          <w:szCs w:val="24"/>
        </w:rPr>
      </w:pPr>
    </w:p>
    <w:p w14:paraId="2E17629C" w14:textId="77777777" w:rsidR="00981EA9" w:rsidRDefault="00BE4E19">
      <w:pPr>
        <w:jc w:val="both"/>
        <w:rPr>
          <w:rFonts w:ascii="Arial" w:eastAsia="Times New Roman" w:hAnsi="Arial" w:cs="Arial"/>
          <w:i/>
          <w:sz w:val="24"/>
          <w:szCs w:val="24"/>
        </w:rPr>
      </w:pPr>
      <w:r>
        <w:rPr>
          <w:rFonts w:ascii="Arial" w:eastAsia="Times New Roman" w:hAnsi="Arial" w:cs="Arial"/>
          <w:i/>
          <w:sz w:val="24"/>
          <w:szCs w:val="24"/>
        </w:rPr>
        <w:t>Vulnerable people with complex needs</w:t>
      </w:r>
    </w:p>
    <w:p w14:paraId="522EC0BB"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The Vulnerability</w:t>
      </w:r>
      <w:r>
        <w:rPr>
          <w:rFonts w:ascii="Arial" w:eastAsia="Times New Roman" w:hAnsi="Arial" w:cs="Arial"/>
          <w:sz w:val="24"/>
          <w:szCs w:val="24"/>
        </w:rPr>
        <w:t xml:space="preserve"> Intervention Pathway (VIP) Navigator Service works with adults with particular needs that require multi-agency support. The initiative is council-led and police representatives work with partners, including on the VIP Programme Board and Tactical Group. D</w:t>
      </w:r>
      <w:r>
        <w:rPr>
          <w:rFonts w:ascii="Arial" w:eastAsia="Times New Roman" w:hAnsi="Arial" w:cs="Arial"/>
          <w:sz w:val="24"/>
          <w:szCs w:val="24"/>
        </w:rPr>
        <w:t>CC funding for the VIP navigators has recently been extended to August 2020.</w:t>
      </w:r>
    </w:p>
    <w:p w14:paraId="66A49967" w14:textId="77777777" w:rsidR="00981EA9" w:rsidRDefault="00981EA9">
      <w:pPr>
        <w:pStyle w:val="ListParagraph"/>
        <w:ind w:left="360"/>
        <w:jc w:val="both"/>
        <w:rPr>
          <w:rFonts w:ascii="Arial" w:eastAsia="Times New Roman" w:hAnsi="Arial" w:cs="Arial"/>
          <w:sz w:val="24"/>
          <w:szCs w:val="24"/>
        </w:rPr>
      </w:pPr>
    </w:p>
    <w:p w14:paraId="539DEB98" w14:textId="77777777" w:rsidR="00981EA9" w:rsidRDefault="00BE4E19">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Community Peer Mentors is a project which aims to reduce the pressure on frontline emergency services by engaging with and supporting people who feel they are vulnerable owing to</w:t>
      </w:r>
      <w:r>
        <w:rPr>
          <w:rFonts w:ascii="Arial" w:eastAsia="Times New Roman" w:hAnsi="Arial" w:cs="Arial"/>
          <w:sz w:val="24"/>
          <w:szCs w:val="24"/>
        </w:rPr>
        <w:t xml:space="preserve"> anti-social behaviour, neighbour disputes, or crime. It engages with those who make frequent calls, helping reduce the severity and/or frequency of these calls. As a project it is now active across the whole of Durham Constabulary with area coordinators i</w:t>
      </w:r>
      <w:r>
        <w:rPr>
          <w:rFonts w:ascii="Arial" w:eastAsia="Times New Roman" w:hAnsi="Arial" w:cs="Arial"/>
          <w:sz w:val="24"/>
          <w:szCs w:val="24"/>
        </w:rPr>
        <w:t>n place.</w:t>
      </w:r>
    </w:p>
    <w:p w14:paraId="6C6404A0" w14:textId="77777777" w:rsidR="00981EA9" w:rsidRDefault="00BE4E19">
      <w:pPr>
        <w:pStyle w:val="Heading1"/>
        <w:spacing w:after="120"/>
        <w:rPr>
          <w:szCs w:val="24"/>
        </w:rPr>
      </w:pPr>
      <w:r>
        <w:rPr>
          <w:szCs w:val="24"/>
        </w:rPr>
        <w:t>Recommendation</w:t>
      </w:r>
    </w:p>
    <w:p w14:paraId="5412693B" w14:textId="77777777" w:rsidR="00981EA9" w:rsidRDefault="00BE4E19">
      <w:pPr>
        <w:pStyle w:val="ListParagraph"/>
        <w:numPr>
          <w:ilvl w:val="0"/>
          <w:numId w:val="1"/>
        </w:numPr>
        <w:spacing w:after="120"/>
        <w:jc w:val="both"/>
        <w:rPr>
          <w:rFonts w:ascii="Arial" w:hAnsi="Arial" w:cs="Arial"/>
          <w:sz w:val="24"/>
          <w:szCs w:val="24"/>
        </w:rPr>
      </w:pPr>
      <w:r>
        <w:rPr>
          <w:rFonts w:ascii="Arial" w:hAnsi="Arial" w:cs="Arial"/>
          <w:sz w:val="24"/>
          <w:szCs w:val="24"/>
        </w:rPr>
        <w:t>That the Panel note the contents of the report and seek any relevant points of clarification.</w:t>
      </w:r>
    </w:p>
    <w:p w14:paraId="615BE70E" w14:textId="77777777" w:rsidR="00981EA9" w:rsidRDefault="00981EA9">
      <w:pPr>
        <w:spacing w:after="120"/>
        <w:rPr>
          <w:rFonts w:ascii="Arial" w:hAnsi="Arial" w:cs="Arial"/>
          <w:sz w:val="24"/>
          <w:szCs w:val="24"/>
        </w:rPr>
      </w:pPr>
    </w:p>
    <w:p w14:paraId="1DBBF023" w14:textId="77777777" w:rsidR="00981EA9" w:rsidRDefault="00BE4E19">
      <w:pPr>
        <w:jc w:val="center"/>
      </w:pPr>
      <w:r>
        <w:rPr>
          <w:rFonts w:ascii="Arial" w:hAnsi="Arial" w:cs="Arial"/>
          <w:b/>
          <w:sz w:val="24"/>
          <w:szCs w:val="24"/>
        </w:rPr>
        <w:t>Steve White</w:t>
      </w:r>
    </w:p>
    <w:p w14:paraId="4DF81F58" w14:textId="77777777" w:rsidR="00981EA9" w:rsidRDefault="00BE4E19">
      <w:pPr>
        <w:jc w:val="center"/>
        <w:rPr>
          <w:rFonts w:ascii="Arial" w:hAnsi="Arial" w:cs="Arial"/>
          <w:sz w:val="24"/>
          <w:szCs w:val="24"/>
        </w:rPr>
        <w:sectPr w:rsidR="00981EA9">
          <w:headerReference w:type="default" r:id="rId23"/>
          <w:footerReference w:type="default" r:id="rId24"/>
          <w:pgSz w:w="11906" w:h="16838"/>
          <w:pgMar w:top="1440" w:right="1440" w:bottom="1440" w:left="1440" w:header="709" w:footer="709" w:gutter="0"/>
          <w:cols w:space="720"/>
        </w:sectPr>
      </w:pPr>
      <w:r>
        <w:rPr>
          <w:rFonts w:ascii="Arial" w:hAnsi="Arial" w:cs="Arial"/>
          <w:sz w:val="24"/>
          <w:szCs w:val="24"/>
        </w:rPr>
        <w:t>Acting Police, Crime and Victims’ Commissioner</w:t>
      </w:r>
    </w:p>
    <w:p w14:paraId="42D74863" w14:textId="77777777" w:rsidR="00981EA9" w:rsidRDefault="00BE4E19">
      <w:pPr>
        <w:pStyle w:val="Heading1"/>
        <w:pBdr>
          <w:top w:val="single" w:sz="4" w:space="1" w:color="000000"/>
          <w:bottom w:val="single" w:sz="4" w:space="1" w:color="000000"/>
        </w:pBdr>
        <w:rPr>
          <w:szCs w:val="24"/>
        </w:rPr>
      </w:pPr>
      <w:r>
        <w:rPr>
          <w:szCs w:val="24"/>
        </w:rPr>
        <w:t>Appendix: Risks and Implications</w:t>
      </w:r>
    </w:p>
    <w:p w14:paraId="5800DA80" w14:textId="77777777" w:rsidR="00981EA9" w:rsidRDefault="00BE4E19">
      <w:pPr>
        <w:rPr>
          <w:rFonts w:ascii="Arial" w:hAnsi="Arial" w:cs="Arial"/>
          <w:b/>
          <w:sz w:val="24"/>
          <w:szCs w:val="24"/>
        </w:rPr>
      </w:pPr>
      <w:r>
        <w:rPr>
          <w:rFonts w:ascii="Arial" w:hAnsi="Arial" w:cs="Arial"/>
          <w:b/>
          <w:sz w:val="24"/>
          <w:szCs w:val="24"/>
        </w:rPr>
        <w:t>Finance</w:t>
      </w:r>
    </w:p>
    <w:p w14:paraId="33CB46DA" w14:textId="77777777" w:rsidR="00981EA9" w:rsidRDefault="00BE4E19">
      <w:pPr>
        <w:rPr>
          <w:rFonts w:ascii="Arial" w:hAnsi="Arial" w:cs="Arial"/>
          <w:sz w:val="24"/>
          <w:szCs w:val="24"/>
        </w:rPr>
      </w:pPr>
      <w:r>
        <w:rPr>
          <w:rFonts w:ascii="Arial" w:hAnsi="Arial" w:cs="Arial"/>
          <w:sz w:val="24"/>
          <w:szCs w:val="24"/>
        </w:rPr>
        <w:t>N/A</w:t>
      </w:r>
    </w:p>
    <w:p w14:paraId="1869F7AF" w14:textId="77777777" w:rsidR="00981EA9" w:rsidRDefault="00BE4E19">
      <w:pPr>
        <w:rPr>
          <w:rFonts w:ascii="Arial" w:hAnsi="Arial" w:cs="Arial"/>
          <w:b/>
          <w:sz w:val="24"/>
          <w:szCs w:val="24"/>
        </w:rPr>
      </w:pPr>
      <w:r>
        <w:rPr>
          <w:rFonts w:ascii="Arial" w:hAnsi="Arial" w:cs="Arial"/>
          <w:b/>
          <w:sz w:val="24"/>
          <w:szCs w:val="24"/>
        </w:rPr>
        <w:t>Staffing</w:t>
      </w:r>
    </w:p>
    <w:p w14:paraId="344FA9ED" w14:textId="77777777" w:rsidR="00981EA9" w:rsidRDefault="00BE4E19">
      <w:pPr>
        <w:rPr>
          <w:rFonts w:ascii="Arial" w:hAnsi="Arial" w:cs="Arial"/>
          <w:sz w:val="24"/>
          <w:szCs w:val="24"/>
        </w:rPr>
      </w:pPr>
      <w:r>
        <w:rPr>
          <w:rFonts w:ascii="Arial" w:hAnsi="Arial" w:cs="Arial"/>
          <w:sz w:val="24"/>
          <w:szCs w:val="24"/>
        </w:rPr>
        <w:t>N/A</w:t>
      </w:r>
    </w:p>
    <w:p w14:paraId="6F36A929" w14:textId="77777777" w:rsidR="00981EA9" w:rsidRDefault="00BE4E19">
      <w:pPr>
        <w:rPr>
          <w:rFonts w:ascii="Arial" w:hAnsi="Arial" w:cs="Arial"/>
          <w:b/>
          <w:sz w:val="24"/>
          <w:szCs w:val="24"/>
        </w:rPr>
      </w:pPr>
      <w:r>
        <w:rPr>
          <w:rFonts w:ascii="Arial" w:hAnsi="Arial" w:cs="Arial"/>
          <w:b/>
          <w:sz w:val="24"/>
          <w:szCs w:val="24"/>
        </w:rPr>
        <w:t xml:space="preserve">Equality and </w:t>
      </w:r>
      <w:r>
        <w:rPr>
          <w:rFonts w:ascii="Arial" w:hAnsi="Arial" w:cs="Arial"/>
          <w:b/>
          <w:sz w:val="24"/>
          <w:szCs w:val="24"/>
        </w:rPr>
        <w:t>Diversity</w:t>
      </w:r>
    </w:p>
    <w:p w14:paraId="1F046F5A" w14:textId="77777777" w:rsidR="00981EA9" w:rsidRDefault="00BE4E19">
      <w:pPr>
        <w:rPr>
          <w:rFonts w:ascii="Arial" w:hAnsi="Arial" w:cs="Arial"/>
          <w:sz w:val="24"/>
          <w:szCs w:val="24"/>
        </w:rPr>
      </w:pPr>
      <w:r>
        <w:rPr>
          <w:rFonts w:ascii="Arial" w:hAnsi="Arial" w:cs="Arial"/>
          <w:sz w:val="24"/>
          <w:szCs w:val="24"/>
        </w:rPr>
        <w:t>N/A</w:t>
      </w:r>
    </w:p>
    <w:p w14:paraId="08308114" w14:textId="77777777" w:rsidR="00981EA9" w:rsidRDefault="00BE4E19">
      <w:pPr>
        <w:rPr>
          <w:rFonts w:ascii="Arial" w:hAnsi="Arial" w:cs="Arial"/>
          <w:b/>
          <w:sz w:val="24"/>
          <w:szCs w:val="24"/>
        </w:rPr>
      </w:pPr>
      <w:r>
        <w:rPr>
          <w:rFonts w:ascii="Arial" w:hAnsi="Arial" w:cs="Arial"/>
          <w:b/>
          <w:sz w:val="24"/>
          <w:szCs w:val="24"/>
        </w:rPr>
        <w:t>Accommodation</w:t>
      </w:r>
    </w:p>
    <w:p w14:paraId="47D48447" w14:textId="77777777" w:rsidR="00981EA9" w:rsidRDefault="00BE4E19">
      <w:pPr>
        <w:rPr>
          <w:rFonts w:ascii="Arial" w:hAnsi="Arial" w:cs="Arial"/>
          <w:sz w:val="24"/>
          <w:szCs w:val="24"/>
        </w:rPr>
      </w:pPr>
      <w:r>
        <w:rPr>
          <w:rFonts w:ascii="Arial" w:hAnsi="Arial" w:cs="Arial"/>
          <w:sz w:val="24"/>
          <w:szCs w:val="24"/>
        </w:rPr>
        <w:t>N/A</w:t>
      </w:r>
    </w:p>
    <w:p w14:paraId="3EE3717C" w14:textId="77777777" w:rsidR="00981EA9" w:rsidRDefault="00BE4E19">
      <w:pPr>
        <w:rPr>
          <w:rFonts w:ascii="Arial" w:hAnsi="Arial" w:cs="Arial"/>
          <w:b/>
          <w:sz w:val="24"/>
          <w:szCs w:val="24"/>
        </w:rPr>
      </w:pPr>
      <w:r>
        <w:rPr>
          <w:rFonts w:ascii="Arial" w:hAnsi="Arial" w:cs="Arial"/>
          <w:b/>
          <w:sz w:val="24"/>
          <w:szCs w:val="24"/>
        </w:rPr>
        <w:t>Crime and Disorder</w:t>
      </w:r>
    </w:p>
    <w:p w14:paraId="368565C8" w14:textId="77777777" w:rsidR="00981EA9" w:rsidRDefault="00BE4E19">
      <w:pPr>
        <w:rPr>
          <w:rFonts w:ascii="Arial" w:hAnsi="Arial" w:cs="Arial"/>
          <w:sz w:val="24"/>
          <w:szCs w:val="24"/>
        </w:rPr>
      </w:pPr>
      <w:r>
        <w:rPr>
          <w:rFonts w:ascii="Arial" w:hAnsi="Arial" w:cs="Arial"/>
          <w:sz w:val="24"/>
          <w:szCs w:val="24"/>
        </w:rPr>
        <w:t>N/A</w:t>
      </w:r>
    </w:p>
    <w:p w14:paraId="369E8B4A" w14:textId="77777777" w:rsidR="00981EA9" w:rsidRDefault="00BE4E19">
      <w:pPr>
        <w:rPr>
          <w:rFonts w:ascii="Arial" w:hAnsi="Arial" w:cs="Arial"/>
          <w:b/>
          <w:sz w:val="24"/>
          <w:szCs w:val="24"/>
        </w:rPr>
      </w:pPr>
      <w:r>
        <w:rPr>
          <w:rFonts w:ascii="Arial" w:hAnsi="Arial" w:cs="Arial"/>
          <w:b/>
          <w:sz w:val="24"/>
          <w:szCs w:val="24"/>
        </w:rPr>
        <w:t>Children’s Act 2004</w:t>
      </w:r>
    </w:p>
    <w:p w14:paraId="7B52635B" w14:textId="77777777" w:rsidR="00981EA9" w:rsidRDefault="00BE4E19">
      <w:pPr>
        <w:rPr>
          <w:rFonts w:ascii="Arial" w:hAnsi="Arial" w:cs="Arial"/>
          <w:sz w:val="24"/>
          <w:szCs w:val="24"/>
        </w:rPr>
      </w:pPr>
      <w:r>
        <w:rPr>
          <w:rFonts w:ascii="Arial" w:hAnsi="Arial" w:cs="Arial"/>
          <w:sz w:val="24"/>
          <w:szCs w:val="24"/>
        </w:rPr>
        <w:t>N/A</w:t>
      </w:r>
    </w:p>
    <w:p w14:paraId="22BA9338" w14:textId="77777777" w:rsidR="00981EA9" w:rsidRDefault="00BE4E19">
      <w:pPr>
        <w:rPr>
          <w:rFonts w:ascii="Arial" w:hAnsi="Arial" w:cs="Arial"/>
          <w:b/>
          <w:sz w:val="24"/>
          <w:szCs w:val="24"/>
        </w:rPr>
      </w:pPr>
      <w:r>
        <w:rPr>
          <w:rFonts w:ascii="Arial" w:hAnsi="Arial" w:cs="Arial"/>
          <w:b/>
          <w:sz w:val="24"/>
          <w:szCs w:val="24"/>
        </w:rPr>
        <w:t>Stakeholder/Community Engagement</w:t>
      </w:r>
    </w:p>
    <w:p w14:paraId="6AAE9A3E" w14:textId="77777777" w:rsidR="00981EA9" w:rsidRDefault="00BE4E19">
      <w:pPr>
        <w:rPr>
          <w:rFonts w:ascii="Arial" w:hAnsi="Arial" w:cs="Arial"/>
          <w:sz w:val="24"/>
          <w:szCs w:val="24"/>
        </w:rPr>
      </w:pPr>
      <w:r>
        <w:rPr>
          <w:rFonts w:ascii="Arial" w:hAnsi="Arial" w:cs="Arial"/>
          <w:sz w:val="24"/>
          <w:szCs w:val="24"/>
        </w:rPr>
        <w:t>N/A</w:t>
      </w:r>
    </w:p>
    <w:p w14:paraId="476020A1" w14:textId="77777777" w:rsidR="00981EA9" w:rsidRDefault="00BE4E19">
      <w:pPr>
        <w:rPr>
          <w:rFonts w:ascii="Arial" w:hAnsi="Arial" w:cs="Arial"/>
          <w:b/>
          <w:sz w:val="24"/>
          <w:szCs w:val="24"/>
        </w:rPr>
      </w:pPr>
      <w:r>
        <w:rPr>
          <w:rFonts w:ascii="Arial" w:hAnsi="Arial" w:cs="Arial"/>
          <w:b/>
          <w:sz w:val="24"/>
          <w:szCs w:val="24"/>
        </w:rPr>
        <w:t>Environment</w:t>
      </w:r>
    </w:p>
    <w:p w14:paraId="4DD08DBD" w14:textId="77777777" w:rsidR="00981EA9" w:rsidRDefault="00BE4E19">
      <w:pPr>
        <w:rPr>
          <w:rFonts w:ascii="Arial" w:hAnsi="Arial" w:cs="Arial"/>
          <w:sz w:val="24"/>
          <w:szCs w:val="24"/>
        </w:rPr>
      </w:pPr>
      <w:r>
        <w:rPr>
          <w:rFonts w:ascii="Arial" w:hAnsi="Arial" w:cs="Arial"/>
          <w:sz w:val="24"/>
          <w:szCs w:val="24"/>
        </w:rPr>
        <w:t>N/A</w:t>
      </w:r>
    </w:p>
    <w:p w14:paraId="54DA6FEA" w14:textId="77777777" w:rsidR="00981EA9" w:rsidRDefault="00BE4E19">
      <w:pPr>
        <w:rPr>
          <w:rFonts w:ascii="Arial" w:hAnsi="Arial" w:cs="Arial"/>
          <w:b/>
          <w:sz w:val="24"/>
          <w:szCs w:val="24"/>
        </w:rPr>
      </w:pPr>
      <w:r>
        <w:rPr>
          <w:rFonts w:ascii="Arial" w:hAnsi="Arial" w:cs="Arial"/>
          <w:b/>
          <w:sz w:val="24"/>
          <w:szCs w:val="24"/>
        </w:rPr>
        <w:t>Collaboration and Partnerships</w:t>
      </w:r>
    </w:p>
    <w:p w14:paraId="5B043F32" w14:textId="77777777" w:rsidR="00981EA9" w:rsidRDefault="00BE4E19">
      <w:pPr>
        <w:rPr>
          <w:rFonts w:ascii="Arial" w:hAnsi="Arial" w:cs="Arial"/>
          <w:sz w:val="24"/>
          <w:szCs w:val="24"/>
        </w:rPr>
      </w:pPr>
      <w:r>
        <w:rPr>
          <w:rFonts w:ascii="Arial" w:hAnsi="Arial" w:cs="Arial"/>
          <w:sz w:val="24"/>
          <w:szCs w:val="24"/>
        </w:rPr>
        <w:t>N/A</w:t>
      </w:r>
    </w:p>
    <w:p w14:paraId="4CF93D2D" w14:textId="77777777" w:rsidR="00981EA9" w:rsidRDefault="00BE4E19">
      <w:pPr>
        <w:rPr>
          <w:rFonts w:ascii="Arial" w:hAnsi="Arial" w:cs="Arial"/>
          <w:b/>
          <w:sz w:val="24"/>
          <w:szCs w:val="24"/>
        </w:rPr>
      </w:pPr>
      <w:r>
        <w:rPr>
          <w:rFonts w:ascii="Arial" w:hAnsi="Arial" w:cs="Arial"/>
          <w:b/>
          <w:sz w:val="24"/>
          <w:szCs w:val="24"/>
        </w:rPr>
        <w:t>Value for Money and Productivity</w:t>
      </w:r>
    </w:p>
    <w:p w14:paraId="10ACC34A" w14:textId="77777777" w:rsidR="00981EA9" w:rsidRDefault="00BE4E19">
      <w:pPr>
        <w:rPr>
          <w:rFonts w:ascii="Arial" w:hAnsi="Arial" w:cs="Arial"/>
          <w:sz w:val="24"/>
          <w:szCs w:val="24"/>
        </w:rPr>
      </w:pPr>
      <w:r>
        <w:rPr>
          <w:rFonts w:ascii="Arial" w:hAnsi="Arial" w:cs="Arial"/>
          <w:sz w:val="24"/>
          <w:szCs w:val="24"/>
        </w:rPr>
        <w:t>N/A</w:t>
      </w:r>
    </w:p>
    <w:p w14:paraId="4ECC9C7D" w14:textId="77777777" w:rsidR="00981EA9" w:rsidRDefault="00BE4E19">
      <w:pPr>
        <w:rPr>
          <w:rFonts w:ascii="Arial" w:hAnsi="Arial" w:cs="Arial"/>
          <w:b/>
          <w:sz w:val="24"/>
          <w:szCs w:val="24"/>
        </w:rPr>
      </w:pPr>
      <w:r>
        <w:rPr>
          <w:rFonts w:ascii="Arial" w:hAnsi="Arial" w:cs="Arial"/>
          <w:b/>
          <w:sz w:val="24"/>
          <w:szCs w:val="24"/>
        </w:rPr>
        <w:t xml:space="preserve">Potential Impact on Police, Crime and </w:t>
      </w:r>
      <w:r>
        <w:rPr>
          <w:rFonts w:ascii="Arial" w:hAnsi="Arial" w:cs="Arial"/>
          <w:b/>
          <w:sz w:val="24"/>
          <w:szCs w:val="24"/>
        </w:rPr>
        <w:t>Victims’ Plan Priorities</w:t>
      </w:r>
    </w:p>
    <w:p w14:paraId="1A9C4081" w14:textId="77777777" w:rsidR="00981EA9" w:rsidRDefault="00BE4E19">
      <w:pPr>
        <w:rPr>
          <w:rFonts w:ascii="Arial" w:hAnsi="Arial" w:cs="Arial"/>
          <w:sz w:val="24"/>
          <w:szCs w:val="24"/>
        </w:rPr>
      </w:pPr>
      <w:r>
        <w:rPr>
          <w:rFonts w:ascii="Arial" w:hAnsi="Arial" w:cs="Arial"/>
          <w:sz w:val="24"/>
          <w:szCs w:val="24"/>
        </w:rPr>
        <w:t>Highlights performance in relation to the Police, Crime and Victims’ Plan.</w:t>
      </w:r>
    </w:p>
    <w:p w14:paraId="77634736" w14:textId="77777777" w:rsidR="00981EA9" w:rsidRDefault="00BE4E19">
      <w:pPr>
        <w:rPr>
          <w:rFonts w:ascii="Arial" w:hAnsi="Arial" w:cs="Arial"/>
          <w:b/>
          <w:sz w:val="24"/>
          <w:szCs w:val="24"/>
        </w:rPr>
      </w:pPr>
      <w:r>
        <w:rPr>
          <w:rFonts w:ascii="Arial" w:hAnsi="Arial" w:cs="Arial"/>
          <w:b/>
          <w:sz w:val="24"/>
          <w:szCs w:val="24"/>
        </w:rPr>
        <w:t>Commissioning</w:t>
      </w:r>
    </w:p>
    <w:p w14:paraId="36AFE538" w14:textId="77777777" w:rsidR="00981EA9" w:rsidRDefault="00BE4E19">
      <w:pPr>
        <w:rPr>
          <w:rFonts w:ascii="Arial" w:hAnsi="Arial" w:cs="Arial"/>
          <w:sz w:val="24"/>
          <w:szCs w:val="24"/>
        </w:rPr>
      </w:pPr>
      <w:r>
        <w:rPr>
          <w:rFonts w:ascii="Arial" w:hAnsi="Arial" w:cs="Arial"/>
          <w:sz w:val="24"/>
          <w:szCs w:val="24"/>
        </w:rPr>
        <w:t>N/A</w:t>
      </w:r>
    </w:p>
    <w:p w14:paraId="14F95FE6" w14:textId="77777777" w:rsidR="00981EA9" w:rsidRDefault="00BE4E19">
      <w:pPr>
        <w:rPr>
          <w:rFonts w:ascii="Arial" w:hAnsi="Arial" w:cs="Arial"/>
          <w:b/>
          <w:sz w:val="24"/>
          <w:szCs w:val="24"/>
        </w:rPr>
      </w:pPr>
      <w:r>
        <w:rPr>
          <w:rFonts w:ascii="Arial" w:hAnsi="Arial" w:cs="Arial"/>
          <w:b/>
          <w:sz w:val="24"/>
          <w:szCs w:val="24"/>
        </w:rPr>
        <w:t>Other Risks</w:t>
      </w:r>
    </w:p>
    <w:p w14:paraId="3DE0CA21" w14:textId="77777777" w:rsidR="00981EA9" w:rsidRDefault="00BE4E19">
      <w:pPr>
        <w:rPr>
          <w:rFonts w:ascii="Arial" w:hAnsi="Arial" w:cs="Arial"/>
          <w:sz w:val="24"/>
          <w:szCs w:val="24"/>
        </w:rPr>
      </w:pPr>
      <w:r>
        <w:rPr>
          <w:rFonts w:ascii="Arial" w:hAnsi="Arial" w:cs="Arial"/>
          <w:sz w:val="24"/>
          <w:szCs w:val="24"/>
        </w:rPr>
        <w:t>N/A</w:t>
      </w:r>
    </w:p>
    <w:tbl>
      <w:tblPr>
        <w:tblW w:w="7308" w:type="dxa"/>
        <w:tblCellMar>
          <w:left w:w="10" w:type="dxa"/>
          <w:right w:w="10" w:type="dxa"/>
        </w:tblCellMar>
        <w:tblLook w:val="0000" w:firstRow="0" w:lastRow="0" w:firstColumn="0" w:lastColumn="0" w:noHBand="0" w:noVBand="0"/>
      </w:tblPr>
      <w:tblGrid>
        <w:gridCol w:w="2088"/>
        <w:gridCol w:w="5220"/>
      </w:tblGrid>
      <w:tr w:rsidR="00981EA9" w14:paraId="38E85DCB" w14:textId="77777777">
        <w:tblPrEx>
          <w:tblCellMar>
            <w:top w:w="0" w:type="dxa"/>
            <w:bottom w:w="0" w:type="dxa"/>
          </w:tblCellMar>
        </w:tblPrEx>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2A14" w14:textId="77777777" w:rsidR="00981EA9" w:rsidRDefault="00BE4E19">
            <w:pPr>
              <w:keepNext/>
              <w:spacing w:after="0" w:line="276" w:lineRule="auto"/>
              <w:jc w:val="both"/>
              <w:outlineLvl w:val="0"/>
            </w:pPr>
            <w:r>
              <w:rPr>
                <w:rFonts w:ascii="Arial" w:eastAsia="Times New Roman" w:hAnsi="Arial" w:cs="Arial"/>
                <w:sz w:val="24"/>
                <w:szCs w:val="24"/>
              </w:rPr>
              <w:t>Contact Officer:</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3627" w14:textId="77777777" w:rsidR="00981EA9" w:rsidRDefault="00BE4E19">
            <w:pPr>
              <w:keepNext/>
              <w:spacing w:after="0" w:line="276" w:lineRule="auto"/>
              <w:jc w:val="both"/>
              <w:outlineLvl w:val="0"/>
              <w:rPr>
                <w:rFonts w:ascii="Arial" w:eastAsia="Times New Roman" w:hAnsi="Arial" w:cs="Arial"/>
                <w:sz w:val="24"/>
                <w:szCs w:val="24"/>
              </w:rPr>
            </w:pPr>
            <w:r>
              <w:rPr>
                <w:rFonts w:ascii="Arial" w:eastAsia="Times New Roman" w:hAnsi="Arial" w:cs="Arial"/>
                <w:sz w:val="24"/>
                <w:szCs w:val="24"/>
              </w:rPr>
              <w:t>James Atkinson</w:t>
            </w:r>
          </w:p>
        </w:tc>
      </w:tr>
      <w:tr w:rsidR="00981EA9" w14:paraId="59B800F2" w14:textId="77777777">
        <w:tblPrEx>
          <w:tblCellMar>
            <w:top w:w="0" w:type="dxa"/>
            <w:bottom w:w="0" w:type="dxa"/>
          </w:tblCellMar>
        </w:tblPrEx>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3169A" w14:textId="77777777" w:rsidR="00981EA9" w:rsidRDefault="00BE4E19">
            <w:pPr>
              <w:keepNext/>
              <w:spacing w:after="0" w:line="276" w:lineRule="auto"/>
              <w:jc w:val="both"/>
              <w:outlineLvl w:val="0"/>
              <w:rPr>
                <w:rFonts w:ascii="Arial" w:eastAsia="Times New Roman" w:hAnsi="Arial" w:cs="Arial"/>
                <w:sz w:val="24"/>
                <w:szCs w:val="24"/>
              </w:rPr>
            </w:pPr>
            <w:r>
              <w:rPr>
                <w:rFonts w:ascii="Arial" w:eastAsia="Times New Roman" w:hAnsi="Arial" w:cs="Arial"/>
                <w:sz w:val="24"/>
                <w:szCs w:val="24"/>
              </w:rPr>
              <w:t>Job Title:</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6F454" w14:textId="77777777" w:rsidR="00981EA9" w:rsidRDefault="00BE4E19">
            <w:pPr>
              <w:spacing w:after="0" w:line="276" w:lineRule="auto"/>
              <w:jc w:val="both"/>
              <w:rPr>
                <w:rFonts w:ascii="Arial" w:eastAsia="Times New Roman" w:hAnsi="Arial" w:cs="Arial"/>
                <w:sz w:val="24"/>
                <w:szCs w:val="24"/>
              </w:rPr>
            </w:pPr>
            <w:r>
              <w:rPr>
                <w:rFonts w:ascii="Arial" w:eastAsia="Times New Roman" w:hAnsi="Arial" w:cs="Arial"/>
                <w:sz w:val="24"/>
                <w:szCs w:val="24"/>
              </w:rPr>
              <w:t>Policy and Accountability Officer</w:t>
            </w:r>
          </w:p>
        </w:tc>
      </w:tr>
      <w:tr w:rsidR="00981EA9" w14:paraId="1B7894DE" w14:textId="77777777">
        <w:tblPrEx>
          <w:tblCellMar>
            <w:top w:w="0" w:type="dxa"/>
            <w:bottom w:w="0" w:type="dxa"/>
          </w:tblCellMar>
        </w:tblPrEx>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93A3B" w14:textId="77777777" w:rsidR="00981EA9" w:rsidRDefault="00BE4E19">
            <w:pPr>
              <w:keepNext/>
              <w:spacing w:after="0" w:line="276" w:lineRule="auto"/>
              <w:jc w:val="both"/>
              <w:outlineLvl w:val="0"/>
              <w:rPr>
                <w:rFonts w:ascii="Arial" w:eastAsia="Times New Roman" w:hAnsi="Arial" w:cs="Arial"/>
                <w:sz w:val="24"/>
                <w:szCs w:val="24"/>
              </w:rPr>
            </w:pPr>
            <w:r>
              <w:rPr>
                <w:rFonts w:ascii="Arial" w:eastAsia="Times New Roman" w:hAnsi="Arial" w:cs="Arial"/>
                <w:sz w:val="24"/>
                <w:szCs w:val="24"/>
              </w:rPr>
              <w:t>Telephone:</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B95A5" w14:textId="77777777" w:rsidR="00981EA9" w:rsidRDefault="00BE4E19">
            <w:pPr>
              <w:keepNext/>
              <w:spacing w:after="0" w:line="276" w:lineRule="auto"/>
              <w:jc w:val="both"/>
              <w:outlineLvl w:val="0"/>
              <w:rPr>
                <w:rFonts w:ascii="Arial" w:eastAsia="Times New Roman" w:hAnsi="Arial" w:cs="Arial"/>
                <w:sz w:val="24"/>
                <w:szCs w:val="24"/>
              </w:rPr>
            </w:pPr>
            <w:r>
              <w:rPr>
                <w:rFonts w:ascii="Arial" w:eastAsia="Times New Roman" w:hAnsi="Arial" w:cs="Arial"/>
                <w:sz w:val="24"/>
                <w:szCs w:val="24"/>
              </w:rPr>
              <w:t>0191 3752 164</w:t>
            </w:r>
          </w:p>
        </w:tc>
      </w:tr>
      <w:tr w:rsidR="00981EA9" w14:paraId="4F1089B6" w14:textId="77777777">
        <w:tblPrEx>
          <w:tblCellMar>
            <w:top w:w="0" w:type="dxa"/>
            <w:bottom w:w="0" w:type="dxa"/>
          </w:tblCellMar>
        </w:tblPrEx>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3BC6C" w14:textId="77777777" w:rsidR="00981EA9" w:rsidRDefault="00BE4E19">
            <w:pPr>
              <w:keepNext/>
              <w:spacing w:after="0" w:line="276" w:lineRule="auto"/>
              <w:jc w:val="both"/>
              <w:outlineLvl w:val="0"/>
              <w:rPr>
                <w:rFonts w:ascii="Arial" w:eastAsia="Times New Roman" w:hAnsi="Arial" w:cs="Arial"/>
                <w:sz w:val="24"/>
                <w:szCs w:val="24"/>
              </w:rPr>
            </w:pPr>
            <w:r>
              <w:rPr>
                <w:rFonts w:ascii="Arial" w:eastAsia="Times New Roman" w:hAnsi="Arial" w:cs="Arial"/>
                <w:sz w:val="24"/>
                <w:szCs w:val="24"/>
              </w:rPr>
              <w:t>Email:</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68C7" w14:textId="77777777" w:rsidR="00981EA9" w:rsidRDefault="00BE4E19">
            <w:pPr>
              <w:keepNext/>
              <w:spacing w:after="0" w:line="276" w:lineRule="auto"/>
              <w:jc w:val="both"/>
              <w:outlineLvl w:val="0"/>
            </w:pPr>
            <w:hyperlink r:id="rId25" w:history="1">
              <w:r>
                <w:rPr>
                  <w:rStyle w:val="Hyperlink"/>
                  <w:rFonts w:ascii="Arial" w:eastAsia="Times New Roman" w:hAnsi="Arial" w:cs="Arial"/>
                  <w:sz w:val="24"/>
                  <w:szCs w:val="24"/>
                </w:rPr>
                <w:t>james.atkinson@durham.pcc.pnn.gov.uk</w:t>
              </w:r>
            </w:hyperlink>
            <w:r>
              <w:rPr>
                <w:rFonts w:ascii="Arial" w:eastAsia="Times New Roman" w:hAnsi="Arial" w:cs="Arial"/>
                <w:sz w:val="24"/>
                <w:szCs w:val="24"/>
              </w:rPr>
              <w:t xml:space="preserve"> </w:t>
            </w:r>
          </w:p>
        </w:tc>
      </w:tr>
    </w:tbl>
    <w:p w14:paraId="487FE8C7" w14:textId="77777777" w:rsidR="00981EA9" w:rsidRDefault="00981EA9">
      <w:pPr>
        <w:pStyle w:val="Heading1"/>
        <w:jc w:val="both"/>
        <w:rPr>
          <w:bCs/>
          <w:szCs w:val="24"/>
        </w:rPr>
      </w:pPr>
    </w:p>
    <w:p w14:paraId="6E11F614" w14:textId="77777777" w:rsidR="00981EA9" w:rsidRDefault="00981EA9">
      <w:pPr>
        <w:rPr>
          <w:rFonts w:ascii="Arial" w:hAnsi="Arial" w:cs="Arial"/>
          <w:sz w:val="24"/>
          <w:szCs w:val="24"/>
        </w:rPr>
      </w:pPr>
    </w:p>
    <w:p w14:paraId="421A4AA9" w14:textId="77777777" w:rsidR="00981EA9" w:rsidRDefault="00981EA9">
      <w:pPr>
        <w:rPr>
          <w:rFonts w:ascii="Arial" w:hAnsi="Arial" w:cs="Arial"/>
          <w:sz w:val="24"/>
          <w:szCs w:val="24"/>
        </w:rPr>
      </w:pPr>
    </w:p>
    <w:sectPr w:rsidR="00981EA9">
      <w:headerReference w:type="default" r:id="rId26"/>
      <w:footerReference w:type="default" r:id="rId2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8FA47" w14:textId="77777777" w:rsidR="00BE4E19" w:rsidRDefault="00BE4E19">
      <w:pPr>
        <w:spacing w:after="0" w:line="240" w:lineRule="auto"/>
      </w:pPr>
      <w:r>
        <w:separator/>
      </w:r>
    </w:p>
  </w:endnote>
  <w:endnote w:type="continuationSeparator" w:id="0">
    <w:p w14:paraId="6ED7069B" w14:textId="77777777" w:rsidR="00BE4E19" w:rsidRDefault="00BE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B840" w14:textId="77777777" w:rsidR="005554AE" w:rsidRDefault="00BE4E19">
    <w:pPr>
      <w:pStyle w:val="Footer"/>
      <w:jc w:val="center"/>
    </w:pPr>
    <w:r>
      <w:t xml:space="preserve">Page </w:t>
    </w:r>
    <w:r>
      <w:rPr>
        <w:b/>
        <w:bCs/>
      </w:rPr>
      <w:fldChar w:fldCharType="begin"/>
    </w:r>
    <w:r>
      <w:rPr>
        <w:b/>
        <w:bCs/>
      </w:rPr>
      <w:instrText xml:space="preserve"> PAGE </w:instrText>
    </w:r>
    <w:r>
      <w:rPr>
        <w:b/>
        <w:bCs/>
      </w:rPr>
      <w:fldChar w:fldCharType="separate"/>
    </w:r>
    <w:r>
      <w:rPr>
        <w:b/>
        <w:bCs/>
      </w:rPr>
      <w:t>19</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19</w:t>
    </w:r>
    <w:r>
      <w:rPr>
        <w:b/>
        <w:bCs/>
      </w:rPr>
      <w:fldChar w:fldCharType="end"/>
    </w:r>
  </w:p>
  <w:p w14:paraId="01C340ED" w14:textId="77777777" w:rsidR="005554AE" w:rsidRDefault="00BE4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00B4" w14:textId="77777777" w:rsidR="005554AE" w:rsidRDefault="00BE4E19">
    <w:pPr>
      <w:pStyle w:val="Footer"/>
      <w:jc w:val="center"/>
    </w:pPr>
    <w:r>
      <w:t xml:space="preserve">Page </w:t>
    </w:r>
    <w:r>
      <w:rPr>
        <w:b/>
        <w:bCs/>
      </w:rPr>
      <w:fldChar w:fldCharType="begin"/>
    </w:r>
    <w:r>
      <w:rPr>
        <w:b/>
        <w:bCs/>
      </w:rPr>
      <w:instrText xml:space="preserve"> PAGE </w:instrText>
    </w:r>
    <w:r>
      <w:rPr>
        <w:b/>
        <w:bCs/>
      </w:rPr>
      <w:fldChar w:fldCharType="separate"/>
    </w:r>
    <w:r>
      <w:rPr>
        <w:b/>
        <w:bCs/>
      </w:rPr>
      <w:t>19</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19</w:t>
    </w:r>
    <w:r>
      <w:rPr>
        <w:b/>
        <w:bCs/>
      </w:rPr>
      <w:fldChar w:fldCharType="end"/>
    </w:r>
  </w:p>
  <w:p w14:paraId="5861C2AB" w14:textId="77777777" w:rsidR="005554AE" w:rsidRDefault="00BE4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B9D30" w14:textId="77777777" w:rsidR="00BE4E19" w:rsidRDefault="00BE4E19">
      <w:pPr>
        <w:spacing w:after="0" w:line="240" w:lineRule="auto"/>
      </w:pPr>
      <w:r>
        <w:rPr>
          <w:color w:val="000000"/>
        </w:rPr>
        <w:separator/>
      </w:r>
    </w:p>
  </w:footnote>
  <w:footnote w:type="continuationSeparator" w:id="0">
    <w:p w14:paraId="04B64FD3" w14:textId="77777777" w:rsidR="00BE4E19" w:rsidRDefault="00BE4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6B9F" w14:textId="77777777" w:rsidR="005554AE" w:rsidRDefault="00BE4E1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D4DA" w14:textId="77777777" w:rsidR="005554AE" w:rsidRDefault="00BE4E1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A3D82"/>
    <w:multiLevelType w:val="multilevel"/>
    <w:tmpl w:val="B82AA8AA"/>
    <w:lvl w:ilvl="0">
      <w:start w:val="1"/>
      <w:numFmt w:val="decimal"/>
      <w:lvlText w:val="%1."/>
      <w:lvlJc w:val="left"/>
      <w:pPr>
        <w:ind w:left="360" w:hanging="360"/>
      </w:pPr>
    </w:lvl>
    <w:lvl w:ilvl="1">
      <w:numFmt w:val="bullet"/>
      <w:lvlText w:val=""/>
      <w:lvlJc w:val="left"/>
      <w:pPr>
        <w:ind w:left="792" w:hanging="508"/>
      </w:pPr>
      <w:rPr>
        <w:rFonts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4713344"/>
    <w:multiLevelType w:val="multilevel"/>
    <w:tmpl w:val="CF848574"/>
    <w:lvl w:ilvl="0">
      <w:start w:val="1"/>
      <w:numFmt w:val="decimal"/>
      <w:lvlText w:val="%1."/>
      <w:lvlJc w:val="left"/>
      <w:pPr>
        <w:ind w:left="360" w:hanging="360"/>
      </w:pPr>
    </w:lvl>
    <w:lvl w:ilvl="1">
      <w:start w:val="1"/>
      <w:numFmt w:val="upperRoman"/>
      <w:lvlText w:val="%2."/>
      <w:lvlJc w:val="right"/>
      <w:pPr>
        <w:ind w:left="792" w:hanging="508"/>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C1F0DF1"/>
    <w:multiLevelType w:val="multilevel"/>
    <w:tmpl w:val="2E98C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731319"/>
    <w:multiLevelType w:val="multilevel"/>
    <w:tmpl w:val="9ED4A20C"/>
    <w:lvl w:ilvl="0">
      <w:start w:val="1"/>
      <w:numFmt w:val="decimal"/>
      <w:lvlText w:val="%1."/>
      <w:lvlJc w:val="left"/>
      <w:pPr>
        <w:ind w:left="360" w:hanging="360"/>
      </w:pPr>
      <w:rPr>
        <w:color w:val="auto"/>
      </w:rPr>
    </w:lvl>
    <w:lvl w:ilvl="1">
      <w:start w:val="1"/>
      <w:numFmt w:val="decimal"/>
      <w:lvlText w:val="%1.%2."/>
      <w:lvlJc w:val="left"/>
      <w:pPr>
        <w:ind w:left="284" w:firstLine="76"/>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981EA9"/>
    <w:rsid w:val="00753AB3"/>
    <w:rsid w:val="00981EA9"/>
    <w:rsid w:val="00BE4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EFAC3C"/>
  <w15:docId w15:val="{26D0AC39-066F-4845-99E5-DBCF940A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spacing w:after="0" w:line="240" w:lineRule="auto"/>
      <w:outlineLvl w:val="0"/>
    </w:pPr>
    <w:rPr>
      <w:rFonts w:ascii="Arial" w:eastAsia="Times New Roman" w:hAnsi="Arial" w:cs="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Times New Roman" w:hAnsi="Arial" w:cs="Arial"/>
      <w:b/>
      <w:sz w:val="24"/>
      <w:szCs w:val="20"/>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hyperlink" Target="mailto:james.atkinson@durham.pcc.pnn.gov.u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www.durham.police.uk/Information-and-advice"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1" i="0" u="none" strike="noStrike" kern="1200" spc="0" baseline="0">
                <a:solidFill>
                  <a:srgbClr val="595959"/>
                </a:solidFill>
                <a:latin typeface="Calibri"/>
              </a:defRPr>
            </a:pPr>
            <a:r>
              <a:rPr lang="en-GB" sz="1400" b="1" i="0" u="none" strike="noStrike" kern="1200" cap="none" spc="0" baseline="0">
                <a:solidFill>
                  <a:srgbClr val="595959"/>
                </a:solidFill>
                <a:uFillTx/>
                <a:latin typeface="Calibri"/>
              </a:rPr>
              <a:t>Crime Severity Score</a:t>
            </a:r>
          </a:p>
        </c:rich>
      </c:tx>
      <c:layout>
        <c:manualLayout>
          <c:xMode val="edge"/>
          <c:yMode val="edge"/>
          <c:x val="1.2812408865558471E-2"/>
          <c:y val="2.7311744049941473E-2"/>
        </c:manualLayout>
      </c:layout>
      <c:overlay val="0"/>
      <c:spPr>
        <a:noFill/>
        <a:ln>
          <a:noFill/>
        </a:ln>
      </c:spPr>
    </c:title>
    <c:autoTitleDeleted val="0"/>
    <c:plotArea>
      <c:layout/>
      <c:barChart>
        <c:barDir val="col"/>
        <c:grouping val="clustered"/>
        <c:varyColors val="0"/>
        <c:ser>
          <c:idx val="0"/>
          <c:order val="0"/>
          <c:tx>
            <c:v>Column1</c:v>
          </c:tx>
          <c:spPr>
            <a:solidFill>
              <a:srgbClr val="5B9BD5"/>
            </a:solidFill>
            <a:ln>
              <a:noFill/>
            </a:ln>
          </c:spPr>
          <c:invertIfNegative val="0"/>
          <c:cat>
            <c:strLit>
              <c:ptCount val="4"/>
              <c:pt idx="0">
                <c:v>Durham</c:v>
              </c:pt>
              <c:pt idx="1">
                <c:v>England and Wales</c:v>
              </c:pt>
            </c:strLit>
          </c:cat>
          <c:val>
            <c:numLit>
              <c:formatCode>General</c:formatCode>
              <c:ptCount val="4"/>
              <c:pt idx="0">
                <c:v>12.8</c:v>
              </c:pt>
              <c:pt idx="1">
                <c:v>14.1</c:v>
              </c:pt>
              <c:pt idx="2">
                <c:v>0</c:v>
              </c:pt>
              <c:pt idx="3">
                <c:v>0</c:v>
              </c:pt>
            </c:numLit>
          </c:val>
          <c:extLst>
            <c:ext xmlns:c16="http://schemas.microsoft.com/office/drawing/2014/chart" uri="{C3380CC4-5D6E-409C-BE32-E72D297353CC}">
              <c16:uniqueId val="{00000000-F19B-6143-8020-1BD9A3C18EA7}"/>
            </c:ext>
          </c:extLst>
        </c:ser>
        <c:ser>
          <c:idx val="1"/>
          <c:order val="1"/>
          <c:tx>
            <c:v>Column2</c:v>
          </c:tx>
          <c:spPr>
            <a:solidFill>
              <a:srgbClr val="ED7D31"/>
            </a:solidFill>
            <a:ln>
              <a:noFill/>
            </a:ln>
          </c:spPr>
          <c:invertIfNegative val="0"/>
          <c:cat>
            <c:strLit>
              <c:ptCount val="4"/>
              <c:pt idx="0">
                <c:v>Durham</c:v>
              </c:pt>
              <c:pt idx="1">
                <c:v>England and Wales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F19B-6143-8020-1BD9A3C18EA7}"/>
            </c:ext>
          </c:extLst>
        </c:ser>
        <c:ser>
          <c:idx val="2"/>
          <c:order val="2"/>
          <c:tx>
            <c:v>Column3</c:v>
          </c:tx>
          <c:spPr>
            <a:solidFill>
              <a:srgbClr val="A5A5A5"/>
            </a:solidFill>
            <a:ln>
              <a:noFill/>
            </a:ln>
          </c:spPr>
          <c:invertIfNegative val="0"/>
          <c:cat>
            <c:strLit>
              <c:ptCount val="4"/>
              <c:pt idx="0">
                <c:v>Durham</c:v>
              </c:pt>
              <c:pt idx="1">
                <c:v>England and Wales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F19B-6143-8020-1BD9A3C18EA7}"/>
            </c:ext>
          </c:extLst>
        </c:ser>
        <c:dLbls>
          <c:showLegendKey val="0"/>
          <c:showVal val="0"/>
          <c:showCatName val="0"/>
          <c:showSerName val="0"/>
          <c:showPercent val="0"/>
          <c:showBubbleSize val="0"/>
        </c:dLbls>
        <c:gapWidth val="219"/>
        <c:overlap val="-27"/>
        <c:axId val="1799432096"/>
        <c:axId val="1799743936"/>
      </c:barChart>
      <c:valAx>
        <c:axId val="1799743936"/>
        <c:scaling>
          <c:orientation val="minMax"/>
          <c:max val="16"/>
          <c:min val="0"/>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9432096"/>
        <c:crosses val="autoZero"/>
        <c:crossBetween val="between"/>
      </c:valAx>
      <c:catAx>
        <c:axId val="179943209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974393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Offence rate per 1,000 population</a:t>
            </a:r>
          </a:p>
        </c:rich>
      </c:tx>
      <c:layout>
        <c:manualLayout>
          <c:xMode val="edge"/>
          <c:yMode val="edge"/>
          <c:x val="1.5624088655584718E-3"/>
          <c:y val="2.7777777777777776E-2"/>
        </c:manualLayout>
      </c:layout>
      <c:overlay val="0"/>
      <c:spPr>
        <a:noFill/>
        <a:ln>
          <a:noFill/>
        </a:ln>
      </c:spPr>
    </c:title>
    <c:autoTitleDeleted val="0"/>
    <c:plotArea>
      <c:layout/>
      <c:barChart>
        <c:barDir val="col"/>
        <c:grouping val="clustered"/>
        <c:varyColors val="0"/>
        <c:ser>
          <c:idx val="0"/>
          <c:order val="0"/>
          <c:tx>
            <c:v>Series 1</c:v>
          </c:tx>
          <c:spPr>
            <a:solidFill>
              <a:srgbClr val="5B9BD5"/>
            </a:solidFill>
            <a:ln>
              <a:noFill/>
            </a:ln>
          </c:spPr>
          <c:invertIfNegative val="0"/>
          <c:cat>
            <c:strLit>
              <c:ptCount val="4"/>
              <c:pt idx="0">
                <c:v>Durham</c:v>
              </c:pt>
              <c:pt idx="1">
                <c:v>England and Wales</c:v>
              </c:pt>
            </c:strLit>
          </c:cat>
          <c:val>
            <c:numLit>
              <c:formatCode>General</c:formatCode>
              <c:ptCount val="4"/>
              <c:pt idx="0">
                <c:v>101</c:v>
              </c:pt>
              <c:pt idx="1">
                <c:v>89</c:v>
              </c:pt>
              <c:pt idx="2">
                <c:v>0</c:v>
              </c:pt>
              <c:pt idx="3">
                <c:v>0</c:v>
              </c:pt>
            </c:numLit>
          </c:val>
          <c:extLst>
            <c:ext xmlns:c16="http://schemas.microsoft.com/office/drawing/2014/chart" uri="{C3380CC4-5D6E-409C-BE32-E72D297353CC}">
              <c16:uniqueId val="{00000000-A909-0048-B3F0-67DAF4CA9353}"/>
            </c:ext>
          </c:extLst>
        </c:ser>
        <c:ser>
          <c:idx val="1"/>
          <c:order val="1"/>
          <c:tx>
            <c:v>Series 3</c:v>
          </c:tx>
          <c:spPr>
            <a:solidFill>
              <a:srgbClr val="A5A5A5"/>
            </a:solidFill>
            <a:ln>
              <a:noFill/>
            </a:ln>
          </c:spPr>
          <c:invertIfNegative val="0"/>
          <c:cat>
            <c:strLit>
              <c:ptCount val="4"/>
              <c:pt idx="0">
                <c:v>Durham</c:v>
              </c:pt>
              <c:pt idx="1">
                <c:v>England and Wales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A909-0048-B3F0-67DAF4CA9353}"/>
            </c:ext>
          </c:extLst>
        </c:ser>
        <c:dLbls>
          <c:showLegendKey val="0"/>
          <c:showVal val="0"/>
          <c:showCatName val="0"/>
          <c:showSerName val="0"/>
          <c:showPercent val="0"/>
          <c:showBubbleSize val="0"/>
        </c:dLbls>
        <c:gapWidth val="219"/>
        <c:overlap val="-27"/>
        <c:axId val="1800027872"/>
        <c:axId val="1800282208"/>
      </c:barChart>
      <c:valAx>
        <c:axId val="1800282208"/>
        <c:scaling>
          <c:orientation val="minMax"/>
          <c:min val="0"/>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00027872"/>
        <c:crosses val="autoZero"/>
        <c:crossBetween val="between"/>
      </c:valAx>
      <c:catAx>
        <c:axId val="180002787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002822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Crime Severity Score</a:t>
            </a:r>
          </a:p>
        </c:rich>
      </c:tx>
      <c:layout>
        <c:manualLayout>
          <c:xMode val="edge"/>
          <c:yMode val="edge"/>
          <c:x val="1.7442038495188102E-2"/>
          <c:y val="3.1746031746031744E-2"/>
        </c:manualLayout>
      </c:layout>
      <c:overlay val="0"/>
      <c:spPr>
        <a:noFill/>
        <a:ln>
          <a:noFill/>
        </a:ln>
      </c:spPr>
    </c:title>
    <c:autoTitleDeleted val="0"/>
    <c:plotArea>
      <c:layout/>
      <c:barChart>
        <c:barDir val="col"/>
        <c:grouping val="clustered"/>
        <c:varyColors val="0"/>
        <c:ser>
          <c:idx val="0"/>
          <c:order val="0"/>
          <c:tx>
            <c:v>Series 1</c:v>
          </c:tx>
          <c:spPr>
            <a:solidFill>
              <a:srgbClr val="5B9BD5"/>
            </a:solidFill>
            <a:ln>
              <a:noFill/>
            </a:ln>
          </c:spPr>
          <c:invertIfNegative val="0"/>
          <c:cat>
            <c:strLit>
              <c:ptCount val="6"/>
              <c:pt idx="0">
                <c:v>Gwent</c:v>
              </c:pt>
              <c:pt idx="1">
                <c:v>Humberside</c:v>
              </c:pt>
              <c:pt idx="2">
                <c:v>Northamptonshire</c:v>
              </c:pt>
              <c:pt idx="3">
                <c:v>South Wales </c:v>
              </c:pt>
              <c:pt idx="4">
                <c:v>Durham </c:v>
              </c:pt>
              <c:pt idx="5">
                <c:v>England and Wales</c:v>
              </c:pt>
            </c:strLit>
          </c:cat>
          <c:val>
            <c:numLit>
              <c:formatCode>General</c:formatCode>
              <c:ptCount val="6"/>
              <c:pt idx="0">
                <c:v>14.2</c:v>
              </c:pt>
              <c:pt idx="1">
                <c:v>17</c:v>
              </c:pt>
              <c:pt idx="2">
                <c:v>14.5</c:v>
              </c:pt>
              <c:pt idx="3">
                <c:v>12</c:v>
              </c:pt>
              <c:pt idx="4">
                <c:v>12.8</c:v>
              </c:pt>
              <c:pt idx="5">
                <c:v>14.1</c:v>
              </c:pt>
            </c:numLit>
          </c:val>
          <c:extLst>
            <c:ext xmlns:c16="http://schemas.microsoft.com/office/drawing/2014/chart" uri="{C3380CC4-5D6E-409C-BE32-E72D297353CC}">
              <c16:uniqueId val="{00000000-EB11-FB4D-925C-46179560516F}"/>
            </c:ext>
          </c:extLst>
        </c:ser>
        <c:ser>
          <c:idx val="1"/>
          <c:order val="1"/>
          <c:tx>
            <c:v>Series 2</c:v>
          </c:tx>
          <c:spPr>
            <a:solidFill>
              <a:srgbClr val="ED7D31"/>
            </a:solidFill>
            <a:ln>
              <a:noFill/>
            </a:ln>
          </c:spPr>
          <c:invertIfNegative val="0"/>
          <c:cat>
            <c:strLit>
              <c:ptCount val="6"/>
              <c:pt idx="0">
                <c:v>Gwent</c:v>
              </c:pt>
              <c:pt idx="1">
                <c:v>Humberside</c:v>
              </c:pt>
              <c:pt idx="2">
                <c:v>Northamptonshire</c:v>
              </c:pt>
              <c:pt idx="3">
                <c:v>South Wales </c:v>
              </c:pt>
              <c:pt idx="4">
                <c:v>Durham </c:v>
              </c:pt>
              <c:pt idx="5">
                <c:v>England and Wales</c:v>
              </c:pt>
            </c:strLit>
          </c:cat>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1-EB11-FB4D-925C-46179560516F}"/>
            </c:ext>
          </c:extLst>
        </c:ser>
        <c:ser>
          <c:idx val="2"/>
          <c:order val="2"/>
          <c:tx>
            <c:v>Series 3</c:v>
          </c:tx>
          <c:spPr>
            <a:solidFill>
              <a:srgbClr val="A5A5A5"/>
            </a:solidFill>
            <a:ln>
              <a:noFill/>
            </a:ln>
          </c:spPr>
          <c:invertIfNegative val="0"/>
          <c:cat>
            <c:strLit>
              <c:ptCount val="6"/>
              <c:pt idx="0">
                <c:v>Gwent</c:v>
              </c:pt>
              <c:pt idx="1">
                <c:v>Humberside</c:v>
              </c:pt>
              <c:pt idx="2">
                <c:v>Northamptonshire</c:v>
              </c:pt>
              <c:pt idx="3">
                <c:v>South Wales </c:v>
              </c:pt>
              <c:pt idx="4">
                <c:v>Durham </c:v>
              </c:pt>
              <c:pt idx="5">
                <c:v>England and Wales</c:v>
              </c:pt>
            </c:strLit>
          </c:cat>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2-EB11-FB4D-925C-46179560516F}"/>
            </c:ext>
          </c:extLst>
        </c:ser>
        <c:dLbls>
          <c:showLegendKey val="0"/>
          <c:showVal val="0"/>
          <c:showCatName val="0"/>
          <c:showSerName val="0"/>
          <c:showPercent val="0"/>
          <c:showBubbleSize val="0"/>
        </c:dLbls>
        <c:gapWidth val="219"/>
        <c:overlap val="-27"/>
        <c:axId val="1813402416"/>
        <c:axId val="1813496992"/>
      </c:barChart>
      <c:valAx>
        <c:axId val="181349699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13402416"/>
        <c:crosses val="autoZero"/>
        <c:crossBetween val="between"/>
      </c:valAx>
      <c:catAx>
        <c:axId val="181340241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134969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itchFamily="34"/>
                <a:cs typeface="Arial" pitchFamily="34"/>
              </a:defRPr>
            </a:pPr>
            <a:r>
              <a:rPr lang="en-GB" sz="1200" b="1" i="0" u="none" strike="noStrike" kern="1200" cap="none" spc="0" baseline="0">
                <a:solidFill>
                  <a:srgbClr val="000000"/>
                </a:solidFill>
                <a:uFillTx/>
                <a:latin typeface="Arial" pitchFamily="34"/>
                <a:cs typeface="Arial" pitchFamily="34"/>
              </a:rPr>
              <a:t>Percentage Satisfied with Arrival Time (All Crime)</a:t>
            </a:r>
          </a:p>
        </c:rich>
      </c:tx>
      <c:overlay val="0"/>
      <c:spPr>
        <a:noFill/>
        <a:ln>
          <a:noFill/>
        </a:ln>
      </c:spPr>
    </c:title>
    <c:autoTitleDeleted val="0"/>
    <c:plotArea>
      <c:layout/>
      <c:lineChart>
        <c:grouping val="standard"/>
        <c:varyColors val="0"/>
        <c:ser>
          <c:idx val="0"/>
          <c:order val="0"/>
          <c:tx>
            <c:v>Durham Constabulary</c:v>
          </c:tx>
          <c:spPr>
            <a:ln w="19046" cap="rnd">
              <a:solidFill>
                <a:srgbClr val="5B9BD5"/>
              </a:solidFill>
              <a:prstDash val="solid"/>
              <a:round/>
            </a:ln>
          </c:spPr>
          <c:cat>
            <c:strLit>
              <c:ptCount val="8"/>
              <c:pt idx="0">
                <c:v>2017-2018 Q4</c:v>
              </c:pt>
              <c:pt idx="1">
                <c:v>2018-2019 Q1</c:v>
              </c:pt>
              <c:pt idx="2">
                <c:v>2018-2019 Q2</c:v>
              </c:pt>
              <c:pt idx="3">
                <c:v>2018-2019 Q3</c:v>
              </c:pt>
              <c:pt idx="4">
                <c:v>2018-2019 Q4</c:v>
              </c:pt>
              <c:pt idx="5">
                <c:v>2019-2020 Q1</c:v>
              </c:pt>
              <c:pt idx="6">
                <c:v>2019-2020 Q2</c:v>
              </c:pt>
              <c:pt idx="7">
                <c:v>2019-2020 Q3</c:v>
              </c:pt>
            </c:strLit>
          </c:cat>
          <c:val>
            <c:numLit>
              <c:formatCode>General</c:formatCode>
              <c:ptCount val="8"/>
              <c:pt idx="0">
                <c:v>0.82191780821917804</c:v>
              </c:pt>
              <c:pt idx="1">
                <c:v>0.8605577689243028</c:v>
              </c:pt>
              <c:pt idx="2">
                <c:v>0.86986301369863017</c:v>
              </c:pt>
              <c:pt idx="3">
                <c:v>0.9007633587786259</c:v>
              </c:pt>
              <c:pt idx="4">
                <c:v>0.86561264822134387</c:v>
              </c:pt>
              <c:pt idx="5">
                <c:v>0.86538461538461542</c:v>
              </c:pt>
              <c:pt idx="6">
                <c:v>0.85470085470085466</c:v>
              </c:pt>
              <c:pt idx="7">
                <c:v>0.86770428015564205</c:v>
              </c:pt>
            </c:numLit>
          </c:val>
          <c:smooth val="0"/>
          <c:extLst>
            <c:ext xmlns:c16="http://schemas.microsoft.com/office/drawing/2014/chart" uri="{C3380CC4-5D6E-409C-BE32-E72D297353CC}">
              <c16:uniqueId val="{00000000-089E-F044-8CA5-3CED2EBA1E5E}"/>
            </c:ext>
          </c:extLst>
        </c:ser>
        <c:dLbls>
          <c:showLegendKey val="0"/>
          <c:showVal val="0"/>
          <c:showCatName val="0"/>
          <c:showSerName val="0"/>
          <c:showPercent val="0"/>
          <c:showBubbleSize val="0"/>
        </c:dLbls>
        <c:marker val="1"/>
        <c:smooth val="0"/>
        <c:axId val="1813839728"/>
        <c:axId val="1813227024"/>
      </c:lineChart>
      <c:valAx>
        <c:axId val="1813227024"/>
        <c:scaling>
          <c:orientation val="minMax"/>
          <c:max val="1"/>
          <c:min val="0.5"/>
        </c:scaling>
        <c:delete val="0"/>
        <c:axPos val="l"/>
        <c:majorGridlines>
          <c:spPr>
            <a:ln w="12701" cap="flat">
              <a:solidFill>
                <a:srgbClr val="7F7F7F"/>
              </a:solidFill>
              <a:custDash>
                <a:ds d="300000" sp="300000"/>
              </a:custDash>
              <a:round/>
            </a:ln>
          </c:spPr>
        </c:majorGridlines>
        <c:numFmt formatCode="0%" sourceLinked="0"/>
        <c:majorTickMark val="out"/>
        <c:minorTickMark val="none"/>
        <c:tickLblPos val="nextTo"/>
        <c:spPr>
          <a:noFill/>
          <a:ln w="15873"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100" b="0" i="0" u="none" strike="noStrike" kern="1200" baseline="0">
                <a:solidFill>
                  <a:srgbClr val="000000"/>
                </a:solidFill>
                <a:latin typeface="Arial" pitchFamily="34"/>
                <a:cs typeface="Arial" pitchFamily="34"/>
              </a:defRPr>
            </a:pPr>
            <a:endParaRPr lang="en-US"/>
          </a:p>
        </c:txPr>
        <c:crossAx val="1813839728"/>
        <c:crosses val="autoZero"/>
        <c:crossBetween val="between"/>
        <c:majorUnit val="5.000000000000001E-2"/>
      </c:valAx>
      <c:catAx>
        <c:axId val="1813839728"/>
        <c:scaling>
          <c:orientation val="minMax"/>
        </c:scaling>
        <c:delete val="0"/>
        <c:axPos val="b"/>
        <c:numFmt formatCode="General" sourceLinked="0"/>
        <c:majorTickMark val="out"/>
        <c:minorTickMark val="none"/>
        <c:tickLblPos val="nextTo"/>
        <c:spPr>
          <a:noFill/>
          <a:ln w="15873"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itchFamily="34"/>
                <a:cs typeface="Arial" pitchFamily="34"/>
              </a:defRPr>
            </a:pPr>
            <a:endParaRPr lang="en-US"/>
          </a:p>
        </c:txPr>
        <c:crossAx val="1813227024"/>
        <c:crosses val="autoZero"/>
        <c:auto val="1"/>
        <c:lblAlgn val="ctr"/>
        <c:lblOffset val="100"/>
        <c:noMultiLvlLbl val="0"/>
      </c:catAx>
      <c:spPr>
        <a:noFill/>
        <a:ln w="6345">
          <a:solidFill>
            <a:srgbClr val="7F7F7F"/>
          </a:solidFill>
          <a:prstDash val="solid"/>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100" b="0" i="0" u="none" strike="noStrike" kern="1200" baseline="0">
              <a:solidFill>
                <a:srgbClr val="000000"/>
              </a:solidFill>
              <a:latin typeface="Arial" pitchFamily="34"/>
              <a:cs typeface="Arial" pitchFamily="34"/>
            </a:defRPr>
          </a:pPr>
          <a:endParaRPr lang="en-US"/>
        </a:p>
      </c:txPr>
    </c:legend>
    <c:plotVisOnly val="1"/>
    <c:dispBlanksAs val="gap"/>
    <c:showDLblsOverMax val="0"/>
  </c:chart>
  <c:spPr>
    <a:noFill/>
    <a:ln w="6345" cap="rnd">
      <a:solidFill>
        <a:srgbClr val="7F7F7F"/>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ahoma"/>
                <a:ea typeface="Tahoma"/>
                <a:cs typeface="Tahoma"/>
              </a:defRPr>
            </a:pPr>
            <a:r>
              <a:rPr lang="en-GB" sz="1000" b="1" i="0" u="none" strike="noStrike" kern="1200" cap="none" spc="0" baseline="0">
                <a:solidFill>
                  <a:srgbClr val="000000"/>
                </a:solidFill>
                <a:uFillTx/>
                <a:latin typeface="Tahoma"/>
                <a:ea typeface="Tahoma"/>
                <a:cs typeface="Tahoma"/>
              </a:rPr>
              <a:t>Incidents - Year on Year Comparison Anti-Social Behaviour - Durham Constabulary</a:t>
            </a:r>
          </a:p>
        </c:rich>
      </c:tx>
      <c:layout>
        <c:manualLayout>
          <c:xMode val="edge"/>
          <c:yMode val="edge"/>
          <c:x val="0.28818129951792809"/>
          <c:y val="1.0869650967147849E-2"/>
        </c:manualLayout>
      </c:layout>
      <c:overlay val="0"/>
      <c:spPr>
        <a:noFill/>
        <a:ln>
          <a:noFill/>
        </a:ln>
      </c:spPr>
    </c:title>
    <c:autoTitleDeleted val="0"/>
    <c:plotArea>
      <c:layout>
        <c:manualLayout>
          <c:xMode val="edge"/>
          <c:yMode val="edge"/>
          <c:x val="3.8293748069880361E-2"/>
          <c:y val="0.15506111917388804"/>
          <c:w val="0.94283827473039394"/>
          <c:h val="0.76094738459989975"/>
        </c:manualLayout>
      </c:layout>
      <c:lineChart>
        <c:grouping val="standard"/>
        <c:varyColors val="0"/>
        <c:ser>
          <c:idx val="0"/>
          <c:order val="0"/>
          <c:tx>
            <c:v>2017/18</c:v>
          </c:tx>
          <c:spPr>
            <a:ln w="12701" cap="rnd">
              <a:solidFill>
                <a:srgbClr val="333333"/>
              </a:solidFill>
              <a:custDash>
                <a:ds d="799921" sp="799921"/>
              </a:custDash>
              <a:round/>
            </a:ln>
          </c:spPr>
          <c:marker>
            <c:symbol val="circle"/>
            <c:size val="7"/>
          </c:marker>
          <c:cat>
            <c:strLit>
              <c:ptCount val="12"/>
              <c:pt idx="0">
                <c:v>Apr</c:v>
              </c:pt>
              <c:pt idx="1">
                <c:v>May</c:v>
              </c:pt>
              <c:pt idx="2">
                <c:v>Jun</c:v>
              </c:pt>
              <c:pt idx="3">
                <c:v>Jul</c:v>
              </c:pt>
              <c:pt idx="4">
                <c:v>Aug</c:v>
              </c:pt>
              <c:pt idx="5">
                <c:v>Sep</c:v>
              </c:pt>
              <c:pt idx="6">
                <c:v>Oct</c:v>
              </c:pt>
              <c:pt idx="7">
                <c:v>Nov</c:v>
              </c:pt>
              <c:pt idx="8">
                <c:v>Dec</c:v>
              </c:pt>
              <c:pt idx="9">
                <c:v>Jan</c:v>
              </c:pt>
              <c:pt idx="10">
                <c:v>Feb</c:v>
              </c:pt>
              <c:pt idx="11">
                <c:v>Mar</c:v>
              </c:pt>
            </c:strLit>
          </c:cat>
          <c:val>
            <c:numLit>
              <c:formatCode>General</c:formatCode>
              <c:ptCount val="12"/>
              <c:pt idx="0">
                <c:v>1859</c:v>
              </c:pt>
              <c:pt idx="1">
                <c:v>1685</c:v>
              </c:pt>
              <c:pt idx="2">
                <c:v>1805</c:v>
              </c:pt>
              <c:pt idx="3">
                <c:v>1877</c:v>
              </c:pt>
              <c:pt idx="4">
                <c:v>1903</c:v>
              </c:pt>
              <c:pt idx="5">
                <c:v>1597</c:v>
              </c:pt>
              <c:pt idx="6">
                <c:v>1889</c:v>
              </c:pt>
              <c:pt idx="7">
                <c:v>1480</c:v>
              </c:pt>
              <c:pt idx="8">
                <c:v>1275</c:v>
              </c:pt>
              <c:pt idx="9">
                <c:v>1521</c:v>
              </c:pt>
              <c:pt idx="10">
                <c:v>1280</c:v>
              </c:pt>
              <c:pt idx="11">
                <c:v>1420</c:v>
              </c:pt>
            </c:numLit>
          </c:val>
          <c:smooth val="0"/>
          <c:extLst>
            <c:ext xmlns:c16="http://schemas.microsoft.com/office/drawing/2014/chart" uri="{C3380CC4-5D6E-409C-BE32-E72D297353CC}">
              <c16:uniqueId val="{00000000-17A5-D44A-A635-A0214267160A}"/>
            </c:ext>
          </c:extLst>
        </c:ser>
        <c:ser>
          <c:idx val="1"/>
          <c:order val="1"/>
          <c:tx>
            <c:v>2018/19</c:v>
          </c:tx>
          <c:spPr>
            <a:ln w="12701" cap="rnd">
              <a:solidFill>
                <a:srgbClr val="800080"/>
              </a:solidFill>
              <a:prstDash val="solid"/>
              <a:round/>
            </a:ln>
          </c:spPr>
          <c:marker>
            <c:symbol val="circle"/>
            <c:size val="7"/>
          </c:marker>
          <c:cat>
            <c:strLit>
              <c:ptCount val="12"/>
              <c:pt idx="0">
                <c:v>Apr</c:v>
              </c:pt>
              <c:pt idx="1">
                <c:v>May</c:v>
              </c:pt>
              <c:pt idx="2">
                <c:v>Jun</c:v>
              </c:pt>
              <c:pt idx="3">
                <c:v>Jul</c:v>
              </c:pt>
              <c:pt idx="4">
                <c:v>Aug</c:v>
              </c:pt>
              <c:pt idx="5">
                <c:v>Sep</c:v>
              </c:pt>
              <c:pt idx="6">
                <c:v>Oct</c:v>
              </c:pt>
              <c:pt idx="7">
                <c:v>Nov</c:v>
              </c:pt>
              <c:pt idx="8">
                <c:v>Dec</c:v>
              </c:pt>
              <c:pt idx="9">
                <c:v>Jan</c:v>
              </c:pt>
              <c:pt idx="10">
                <c:v>Feb</c:v>
              </c:pt>
              <c:pt idx="11">
                <c:v>Mar</c:v>
              </c:pt>
            </c:strLit>
          </c:cat>
          <c:val>
            <c:numLit>
              <c:formatCode>General</c:formatCode>
              <c:ptCount val="12"/>
              <c:pt idx="0">
                <c:v>1413</c:v>
              </c:pt>
              <c:pt idx="1">
                <c:v>1783</c:v>
              </c:pt>
              <c:pt idx="2">
                <c:v>1681</c:v>
              </c:pt>
              <c:pt idx="3">
                <c:v>1764</c:v>
              </c:pt>
              <c:pt idx="4">
                <c:v>1680</c:v>
              </c:pt>
              <c:pt idx="5">
                <c:v>1349</c:v>
              </c:pt>
              <c:pt idx="6">
                <c:v>1376</c:v>
              </c:pt>
              <c:pt idx="7">
                <c:v>1206</c:v>
              </c:pt>
              <c:pt idx="8">
                <c:v>1222</c:v>
              </c:pt>
              <c:pt idx="9">
                <c:v>1274</c:v>
              </c:pt>
              <c:pt idx="10">
                <c:v>1535</c:v>
              </c:pt>
              <c:pt idx="11">
                <c:v>1396</c:v>
              </c:pt>
            </c:numLit>
          </c:val>
          <c:smooth val="0"/>
          <c:extLst>
            <c:ext xmlns:c16="http://schemas.microsoft.com/office/drawing/2014/chart" uri="{C3380CC4-5D6E-409C-BE32-E72D297353CC}">
              <c16:uniqueId val="{00000001-17A5-D44A-A635-A0214267160A}"/>
            </c:ext>
          </c:extLst>
        </c:ser>
        <c:ser>
          <c:idx val="2"/>
          <c:order val="2"/>
          <c:tx>
            <c:v>2019/20</c:v>
          </c:tx>
          <c:spPr>
            <a:ln w="38103" cap="rnd">
              <a:solidFill>
                <a:srgbClr val="003366"/>
              </a:solidFill>
              <a:prstDash val="solid"/>
              <a:round/>
            </a:ln>
          </c:spPr>
          <c:marker>
            <c:symbol val="circle"/>
            <c:size val="7"/>
          </c:marker>
          <c:dPt>
            <c:idx val="10"/>
            <c:bubble3D val="0"/>
            <c:spPr>
              <a:ln w="38103" cap="rnd">
                <a:solidFill>
                  <a:srgbClr val="585858"/>
                </a:solidFill>
                <a:prstDash val="solid"/>
                <a:round/>
              </a:ln>
            </c:spPr>
            <c:extLst>
              <c:ext xmlns:c16="http://schemas.microsoft.com/office/drawing/2014/chart" uri="{C3380CC4-5D6E-409C-BE32-E72D297353CC}">
                <c16:uniqueId val="{00000000-5183-5847-BD62-D81B0229EAB5}"/>
              </c:ext>
            </c:extLst>
          </c:dPt>
          <c:cat>
            <c:strLit>
              <c:ptCount val="12"/>
              <c:pt idx="0">
                <c:v>Apr</c:v>
              </c:pt>
              <c:pt idx="1">
                <c:v>May</c:v>
              </c:pt>
              <c:pt idx="2">
                <c:v>Jun</c:v>
              </c:pt>
              <c:pt idx="3">
                <c:v>Jul</c:v>
              </c:pt>
              <c:pt idx="4">
                <c:v>Aug</c:v>
              </c:pt>
              <c:pt idx="5">
                <c:v>Sep</c:v>
              </c:pt>
              <c:pt idx="6">
                <c:v>Oct</c:v>
              </c:pt>
              <c:pt idx="7">
                <c:v>Nov</c:v>
              </c:pt>
              <c:pt idx="8">
                <c:v>Dec</c:v>
              </c:pt>
              <c:pt idx="9">
                <c:v>Jan</c:v>
              </c:pt>
              <c:pt idx="10">
                <c:v>Feb</c:v>
              </c:pt>
              <c:pt idx="11">
                <c:v>Mar</c:v>
              </c:pt>
            </c:strLit>
          </c:cat>
          <c:val>
            <c:numLit>
              <c:formatCode>General</c:formatCode>
              <c:ptCount val="11"/>
              <c:pt idx="0">
                <c:v>1495</c:v>
              </c:pt>
              <c:pt idx="1">
                <c:v>1431</c:v>
              </c:pt>
              <c:pt idx="2">
                <c:v>1585</c:v>
              </c:pt>
              <c:pt idx="3">
                <c:v>1743</c:v>
              </c:pt>
              <c:pt idx="4">
                <c:v>1870</c:v>
              </c:pt>
              <c:pt idx="5">
                <c:v>1486</c:v>
              </c:pt>
              <c:pt idx="6">
                <c:v>1544</c:v>
              </c:pt>
              <c:pt idx="7">
                <c:v>1387</c:v>
              </c:pt>
              <c:pt idx="8">
                <c:v>1331</c:v>
              </c:pt>
              <c:pt idx="9">
                <c:v>1550</c:v>
              </c:pt>
              <c:pt idx="10">
                <c:v>1270</c:v>
              </c:pt>
            </c:numLit>
          </c:val>
          <c:smooth val="0"/>
          <c:extLst>
            <c:ext xmlns:c16="http://schemas.microsoft.com/office/drawing/2014/chart" uri="{C3380CC4-5D6E-409C-BE32-E72D297353CC}">
              <c16:uniqueId val="{00000004-17A5-D44A-A635-A0214267160A}"/>
            </c:ext>
          </c:extLst>
        </c:ser>
        <c:dLbls>
          <c:showLegendKey val="0"/>
          <c:showVal val="0"/>
          <c:showCatName val="0"/>
          <c:showSerName val="0"/>
          <c:showPercent val="0"/>
          <c:showBubbleSize val="0"/>
        </c:dLbls>
        <c:marker val="1"/>
        <c:smooth val="0"/>
        <c:axId val="1813933248"/>
        <c:axId val="1813687088"/>
      </c:lineChart>
      <c:valAx>
        <c:axId val="1813687088"/>
        <c:scaling>
          <c:orientation val="minMax"/>
        </c:scaling>
        <c:delete val="0"/>
        <c:axPos val="l"/>
        <c:majorGridlines>
          <c:spPr>
            <a:ln w="3172" cap="flat">
              <a:solidFill>
                <a:srgbClr val="C0C0C0"/>
              </a:solidFill>
              <a:custDash>
                <a:ds d="100000" sp="100000"/>
              </a:custDash>
              <a:round/>
            </a:ln>
          </c:spPr>
        </c:majorGridlines>
        <c:numFmt formatCode="General" sourceLinked="0"/>
        <c:majorTickMark val="out"/>
        <c:minorTickMark val="none"/>
        <c:tickLblPos val="nextTo"/>
        <c:spPr>
          <a:noFill/>
          <a:ln w="3172"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125" b="0" i="0" u="none" strike="noStrike" kern="1200" baseline="0">
                <a:solidFill>
                  <a:srgbClr val="000000"/>
                </a:solidFill>
                <a:latin typeface="Tahoma"/>
                <a:ea typeface="Tahoma"/>
                <a:cs typeface="Tahoma"/>
              </a:defRPr>
            </a:pPr>
            <a:endParaRPr lang="en-US"/>
          </a:p>
        </c:txPr>
        <c:crossAx val="1813933248"/>
        <c:crosses val="autoZero"/>
        <c:crossBetween val="between"/>
      </c:valAx>
      <c:catAx>
        <c:axId val="1813933248"/>
        <c:scaling>
          <c:orientation val="minMax"/>
        </c:scaling>
        <c:delete val="0"/>
        <c:axPos val="b"/>
        <c:numFmt formatCode="mmm&quot; &quot;yy" sourceLinked="0"/>
        <c:majorTickMark val="out"/>
        <c:minorTickMark val="none"/>
        <c:tickLblPos val="nextTo"/>
        <c:spPr>
          <a:noFill/>
          <a:ln w="3172"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100" b="0" i="0" u="none" strike="noStrike" kern="1200" baseline="0">
                <a:solidFill>
                  <a:srgbClr val="000000"/>
                </a:solidFill>
                <a:latin typeface="Tahoma"/>
                <a:ea typeface="Tahoma"/>
                <a:cs typeface="Tahoma"/>
              </a:defRPr>
            </a:pPr>
            <a:endParaRPr lang="en-US"/>
          </a:p>
        </c:txPr>
        <c:crossAx val="1813687088"/>
        <c:crosses val="autoZero"/>
        <c:auto val="1"/>
        <c:lblAlgn val="ctr"/>
        <c:lblOffset val="100"/>
        <c:tickLblSkip val="1"/>
        <c:tickMarkSkip val="1"/>
        <c:noMultiLvlLbl val="0"/>
      </c:catAx>
      <c:spPr>
        <a:noFill/>
        <a:ln w="12701">
          <a:solidFill>
            <a:srgbClr val="969696"/>
          </a:solidFill>
          <a:prstDash val="solid"/>
        </a:ln>
      </c:spPr>
    </c:plotArea>
    <c:legend>
      <c:legendPos val="r"/>
      <c:layout>
        <c:manualLayout>
          <c:xMode val="edge"/>
          <c:yMode val="edge"/>
          <c:x val="5.738417973623007E-2"/>
          <c:y val="0.93913109712555587"/>
        </c:manualLayout>
      </c:layout>
      <c:overlay val="0"/>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sz="1010" b="0" i="0" u="none" strike="noStrike" kern="1200" baseline="0">
              <a:solidFill>
                <a:srgbClr val="000000"/>
              </a:solidFill>
              <a:latin typeface="Tahoma"/>
              <a:ea typeface="Tahoma"/>
              <a:cs typeface="Tahoma"/>
            </a:defRPr>
          </a:pPr>
          <a:endParaRPr lang="en-US"/>
        </a:p>
      </c:txPr>
    </c:legend>
    <c:plotVisOnly val="1"/>
    <c:dispBlanksAs val="zero"/>
    <c:showDLblsOverMax val="0"/>
  </c:chart>
  <c:spPr>
    <a:solidFill>
      <a:srgbClr val="FFFFFF"/>
    </a:solidFill>
    <a:ln w="12701" cap="flat">
      <a:solidFill>
        <a:srgbClr val="C0C0C0"/>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75" b="0" i="0" u="none" strike="noStrike" kern="1200"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itchFamily="34"/>
                <a:cs typeface="Arial" pitchFamily="34"/>
              </a:defRPr>
            </a:pPr>
            <a:r>
              <a:rPr lang="en-GB" sz="1200" b="1" i="0" u="none" strike="noStrike" kern="1200" cap="none" spc="0" baseline="0">
                <a:solidFill>
                  <a:srgbClr val="000000"/>
                </a:solidFill>
                <a:uFillTx/>
                <a:latin typeface="Arial" pitchFamily="34"/>
                <a:cs typeface="Arial" pitchFamily="34"/>
              </a:rPr>
              <a:t>Percentage Satisfied with Whole Experience (All Crime)</a:t>
            </a:r>
          </a:p>
        </c:rich>
      </c:tx>
      <c:overlay val="0"/>
      <c:spPr>
        <a:noFill/>
        <a:ln>
          <a:noFill/>
        </a:ln>
      </c:spPr>
    </c:title>
    <c:autoTitleDeleted val="0"/>
    <c:plotArea>
      <c:layout/>
      <c:lineChart>
        <c:grouping val="standard"/>
        <c:varyColors val="0"/>
        <c:ser>
          <c:idx val="0"/>
          <c:order val="0"/>
          <c:tx>
            <c:v>Durham Constabulary</c:v>
          </c:tx>
          <c:spPr>
            <a:ln w="19046" cap="rnd">
              <a:solidFill>
                <a:srgbClr val="5B9BD5"/>
              </a:solidFill>
              <a:prstDash val="solid"/>
              <a:round/>
            </a:ln>
          </c:spPr>
          <c:cat>
            <c:strLit>
              <c:ptCount val="8"/>
              <c:pt idx="0">
                <c:v>2017-2018 Q4</c:v>
              </c:pt>
              <c:pt idx="1">
                <c:v>2018-2019 Q1</c:v>
              </c:pt>
              <c:pt idx="2">
                <c:v>2018-2019 Q2</c:v>
              </c:pt>
              <c:pt idx="3">
                <c:v>2018-2019 Q3</c:v>
              </c:pt>
              <c:pt idx="4">
                <c:v>2018-2019 Q4</c:v>
              </c:pt>
              <c:pt idx="5">
                <c:v>2019-2020 Q1</c:v>
              </c:pt>
              <c:pt idx="6">
                <c:v>2019-2020 Q2</c:v>
              </c:pt>
              <c:pt idx="7">
                <c:v>2019-2020 Q3</c:v>
              </c:pt>
            </c:strLit>
          </c:cat>
          <c:val>
            <c:numLit>
              <c:formatCode>General</c:formatCode>
              <c:ptCount val="8"/>
              <c:pt idx="0">
                <c:v>0.82267441860465118</c:v>
              </c:pt>
              <c:pt idx="1">
                <c:v>0.8375634517766497</c:v>
              </c:pt>
              <c:pt idx="2">
                <c:v>0.84651162790697676</c:v>
              </c:pt>
              <c:pt idx="3">
                <c:v>0.81728395061728398</c:v>
              </c:pt>
              <c:pt idx="4">
                <c:v>0.81443298969072164</c:v>
              </c:pt>
              <c:pt idx="5">
                <c:v>0.84591194968553463</c:v>
              </c:pt>
              <c:pt idx="6">
                <c:v>0.84223918575063617</c:v>
              </c:pt>
              <c:pt idx="7">
                <c:v>0.79800498753117211</c:v>
              </c:pt>
            </c:numLit>
          </c:val>
          <c:smooth val="0"/>
          <c:extLst>
            <c:ext xmlns:c16="http://schemas.microsoft.com/office/drawing/2014/chart" uri="{C3380CC4-5D6E-409C-BE32-E72D297353CC}">
              <c16:uniqueId val="{00000000-3F84-6849-A258-1CA6D8ADEE13}"/>
            </c:ext>
          </c:extLst>
        </c:ser>
        <c:dLbls>
          <c:showLegendKey val="0"/>
          <c:showVal val="0"/>
          <c:showCatName val="0"/>
          <c:showSerName val="0"/>
          <c:showPercent val="0"/>
          <c:showBubbleSize val="0"/>
        </c:dLbls>
        <c:marker val="1"/>
        <c:smooth val="0"/>
        <c:axId val="1794587072"/>
        <c:axId val="1794608512"/>
      </c:lineChart>
      <c:valAx>
        <c:axId val="1794608512"/>
        <c:scaling>
          <c:orientation val="minMax"/>
          <c:max val="1"/>
          <c:min val="0.5"/>
        </c:scaling>
        <c:delete val="0"/>
        <c:axPos val="l"/>
        <c:majorGridlines>
          <c:spPr>
            <a:ln w="12701" cap="flat">
              <a:solidFill>
                <a:srgbClr val="7F7F7F"/>
              </a:solidFill>
              <a:custDash>
                <a:ds d="300000" sp="300000"/>
              </a:custDash>
              <a:round/>
            </a:ln>
          </c:spPr>
        </c:majorGridlines>
        <c:numFmt formatCode="0%" sourceLinked="0"/>
        <c:majorTickMark val="out"/>
        <c:minorTickMark val="none"/>
        <c:tickLblPos val="nextTo"/>
        <c:spPr>
          <a:noFill/>
          <a:ln w="15873"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100" b="0" i="0" u="none" strike="noStrike" kern="1200" baseline="0">
                <a:solidFill>
                  <a:srgbClr val="000000"/>
                </a:solidFill>
                <a:latin typeface="Arial" pitchFamily="34"/>
                <a:cs typeface="Arial" pitchFamily="34"/>
              </a:defRPr>
            </a:pPr>
            <a:endParaRPr lang="en-US"/>
          </a:p>
        </c:txPr>
        <c:crossAx val="1794587072"/>
        <c:crosses val="autoZero"/>
        <c:crossBetween val="between"/>
        <c:majorUnit val="5.000000000000001E-2"/>
      </c:valAx>
      <c:catAx>
        <c:axId val="1794587072"/>
        <c:scaling>
          <c:orientation val="minMax"/>
        </c:scaling>
        <c:delete val="0"/>
        <c:axPos val="b"/>
        <c:numFmt formatCode="General" sourceLinked="0"/>
        <c:majorTickMark val="out"/>
        <c:minorTickMark val="none"/>
        <c:tickLblPos val="nextTo"/>
        <c:spPr>
          <a:noFill/>
          <a:ln w="15873"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itchFamily="34"/>
                <a:cs typeface="Arial" pitchFamily="34"/>
              </a:defRPr>
            </a:pPr>
            <a:endParaRPr lang="en-US"/>
          </a:p>
        </c:txPr>
        <c:crossAx val="1794608512"/>
        <c:crosses val="autoZero"/>
        <c:auto val="1"/>
        <c:lblAlgn val="ctr"/>
        <c:lblOffset val="100"/>
        <c:noMultiLvlLbl val="0"/>
      </c:catAx>
      <c:spPr>
        <a:noFill/>
        <a:ln w="6345">
          <a:solidFill>
            <a:srgbClr val="7F7F7F"/>
          </a:solidFill>
          <a:prstDash val="solid"/>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100" b="0" i="0" u="none" strike="noStrike" kern="1200" baseline="0">
              <a:solidFill>
                <a:srgbClr val="000000"/>
              </a:solidFill>
              <a:latin typeface="Arial" pitchFamily="34"/>
              <a:cs typeface="Arial" pitchFamily="34"/>
            </a:defRPr>
          </a:pPr>
          <a:endParaRPr lang="en-US"/>
        </a:p>
      </c:txPr>
    </c:legend>
    <c:plotVisOnly val="1"/>
    <c:dispBlanksAs val="gap"/>
    <c:showDLblsOverMax val="0"/>
  </c:chart>
  <c:spPr>
    <a:noFill/>
    <a:ln w="6345" cap="rnd">
      <a:solidFill>
        <a:srgbClr val="7F7F7F"/>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1" i="0" u="none" strike="noStrike" kern="1200" spc="0" baseline="0">
                <a:solidFill>
                  <a:srgbClr val="000000"/>
                </a:solidFill>
                <a:latin typeface="Calibri"/>
              </a:defRPr>
            </a:pPr>
            <a:r>
              <a:rPr lang="en-GB" sz="1400" b="1" i="0" u="none" strike="noStrike" kern="1200" cap="none" spc="0" baseline="0">
                <a:solidFill>
                  <a:srgbClr val="000000"/>
                </a:solidFill>
                <a:uFillTx/>
                <a:latin typeface="Calibri"/>
              </a:rPr>
              <a:t>Incidents with 'Mental Health' Qualifier Location: Durham Constabulary</a:t>
            </a:r>
          </a:p>
        </c:rich>
      </c:tx>
      <c:layout>
        <c:manualLayout>
          <c:xMode val="edge"/>
          <c:yMode val="edge"/>
          <c:x val="0.31703739503202472"/>
          <c:y val="1.8264976664393816E-2"/>
        </c:manualLayout>
      </c:layout>
      <c:overlay val="0"/>
      <c:spPr>
        <a:noFill/>
        <a:ln>
          <a:noFill/>
        </a:ln>
      </c:spPr>
    </c:title>
    <c:autoTitleDeleted val="0"/>
    <c:plotArea>
      <c:layout>
        <c:manualLayout>
          <c:xMode val="edge"/>
          <c:yMode val="edge"/>
          <c:x val="0"/>
          <c:y val="0.11357139076476649"/>
          <c:w val="0.96609113479693831"/>
          <c:h val="0.84901099995952456"/>
        </c:manualLayout>
      </c:layout>
      <c:lineChart>
        <c:grouping val="standard"/>
        <c:varyColors val="0"/>
        <c:ser>
          <c:idx val="0"/>
          <c:order val="0"/>
          <c:tx>
            <c:v>Mental Health</c:v>
          </c:tx>
          <c:spPr>
            <a:ln w="28575" cap="rnd">
              <a:solidFill>
                <a:srgbClr val="44546A"/>
              </a:solidFill>
              <a:prstDash val="solid"/>
              <a:round/>
            </a:ln>
          </c:spPr>
          <c:marker>
            <c:symbol val="circle"/>
            <c:size val="8"/>
          </c:marker>
          <c:cat>
            <c:numLit>
              <c:formatCode>General</c:formatCode>
              <c:ptCount val="12"/>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numLit>
          </c:cat>
          <c:val>
            <c:numLit>
              <c:formatCode>General</c:formatCode>
              <c:ptCount val="12"/>
              <c:pt idx="0">
                <c:v>1839</c:v>
              </c:pt>
              <c:pt idx="1">
                <c:v>2164</c:v>
              </c:pt>
              <c:pt idx="2">
                <c:v>2109</c:v>
              </c:pt>
              <c:pt idx="3">
                <c:v>2121</c:v>
              </c:pt>
              <c:pt idx="4">
                <c:v>2169</c:v>
              </c:pt>
              <c:pt idx="5">
                <c:v>1162</c:v>
              </c:pt>
              <c:pt idx="6">
                <c:v>1061</c:v>
              </c:pt>
              <c:pt idx="7">
                <c:v>958</c:v>
              </c:pt>
              <c:pt idx="8">
                <c:v>1059</c:v>
              </c:pt>
              <c:pt idx="9">
                <c:v>1095</c:v>
              </c:pt>
              <c:pt idx="10">
                <c:v>1050</c:v>
              </c:pt>
              <c:pt idx="11">
                <c:v>1098</c:v>
              </c:pt>
            </c:numLit>
          </c:val>
          <c:smooth val="0"/>
          <c:extLst>
            <c:ext xmlns:c16="http://schemas.microsoft.com/office/drawing/2014/chart" uri="{C3380CC4-5D6E-409C-BE32-E72D297353CC}">
              <c16:uniqueId val="{00000000-99B7-C247-8274-A54E3B34B01A}"/>
            </c:ext>
          </c:extLst>
        </c:ser>
        <c:dLbls>
          <c:showLegendKey val="0"/>
          <c:showVal val="0"/>
          <c:showCatName val="0"/>
          <c:showSerName val="0"/>
          <c:showPercent val="0"/>
          <c:showBubbleSize val="0"/>
        </c:dLbls>
        <c:marker val="1"/>
        <c:smooth val="0"/>
        <c:axId val="1864830336"/>
        <c:axId val="1898513024"/>
      </c:lineChart>
      <c:valAx>
        <c:axId val="1898513024"/>
        <c:scaling>
          <c:orientation val="minMax"/>
        </c:scaling>
        <c:delete val="0"/>
        <c:axPos val="l"/>
        <c:majorGridlines>
          <c:spPr>
            <a:ln w="12701" cap="flat">
              <a:solidFill>
                <a:srgbClr val="A6A6A6"/>
              </a:solidFill>
              <a:custDash>
                <a:ds d="300000" sp="300000"/>
              </a:custDash>
              <a:round/>
            </a:ln>
          </c:spPr>
        </c:majorGridlines>
        <c:numFmt formatCode="0" sourceLinked="0"/>
        <c:majorTickMark val="none"/>
        <c:minorTickMark val="none"/>
        <c:tickLblPos val="nextTo"/>
        <c:spPr>
          <a:noFill/>
          <a:ln w="9528">
            <a:solidFill>
              <a:srgbClr val="0D0D0D"/>
            </a:solidFill>
            <a:prstDash val="soli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Calibri"/>
              </a:defRPr>
            </a:pPr>
            <a:endParaRPr lang="en-US"/>
          </a:p>
        </c:txPr>
        <c:crossAx val="1864830336"/>
        <c:crosses val="autoZero"/>
        <c:crossBetween val="between"/>
      </c:valAx>
      <c:catAx>
        <c:axId val="1864830336"/>
        <c:scaling>
          <c:orientation val="minMax"/>
        </c:scaling>
        <c:delete val="0"/>
        <c:axPos val="b"/>
        <c:numFmt formatCode="mmm\-yy" sourceLinked="0"/>
        <c:majorTickMark val="out"/>
        <c:minorTickMark val="none"/>
        <c:tickLblPos val="nextTo"/>
        <c:spPr>
          <a:noFill/>
          <a:ln w="9528" cap="flat">
            <a:solidFill>
              <a:srgbClr val="0D0D0D"/>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Calibri"/>
              </a:defRPr>
            </a:pPr>
            <a:endParaRPr lang="en-US"/>
          </a:p>
        </c:txPr>
        <c:crossAx val="1898513024"/>
        <c:crosses val="autoZero"/>
        <c:auto val="1"/>
        <c:lblAlgn val="ctr"/>
        <c:lblOffset val="100"/>
        <c:noMultiLvlLbl val="0"/>
      </c:catAx>
      <c:spPr>
        <a:solidFill>
          <a:srgbClr val="FFFFFF"/>
        </a:solidFill>
        <a:ln w="9528">
          <a:solidFill>
            <a:srgbClr val="BFBFBF"/>
          </a:solidFill>
          <a:prstDash val="solid"/>
        </a:ln>
      </c:spPr>
    </c:plotArea>
    <c:legend>
      <c:legendPos val="r"/>
      <c:layout>
        <c:manualLayout>
          <c:xMode val="edge"/>
          <c:yMode val="edge"/>
          <c:x val="0.23576910796631256"/>
          <c:y val="0.92710791044357888"/>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595959"/>
              </a:solidFill>
              <a:latin typeface="Calibri"/>
            </a:defRPr>
          </a:pPr>
          <a:endParaRPr lang="en-US"/>
        </a:p>
      </c:txPr>
    </c:legend>
    <c:plotVisOnly val="1"/>
    <c:dispBlanksAs val="gap"/>
    <c:showDLblsOverMax val="0"/>
  </c:chart>
  <c:spPr>
    <a:solidFill>
      <a:srgbClr val="F2F2F2"/>
    </a:solidFill>
    <a:ln w="12701" cap="flat">
      <a:solidFill>
        <a:srgbClr val="A6A6A6"/>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5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3998</Words>
  <Characters>22789</Characters>
  <Application>Microsoft Office Word</Application>
  <DocSecurity>0</DocSecurity>
  <Lines>189</Lines>
  <Paragraphs>53</Paragraphs>
  <ScaleCrop>false</ScaleCrop>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Cain</dc:creator>
  <dc:description/>
  <cp:lastModifiedBy>david dove</cp:lastModifiedBy>
  <cp:revision>2</cp:revision>
  <cp:lastPrinted>2019-10-04T12:53:00Z</cp:lastPrinted>
  <dcterms:created xsi:type="dcterms:W3CDTF">2021-03-01T15:22:00Z</dcterms:created>
  <dcterms:modified xsi:type="dcterms:W3CDTF">2021-03-01T15:22:00Z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aa0aa9-7845-4268-8f65-90cf4ea80712_Enabled">
    <vt:lpwstr>True</vt:lpwstr>
  </property>
  <property fmtid="{D5CDD505-2E9C-101B-9397-08002B2CF9AE}" pid="3" name="MSIP_Label_8eaa0aa9-7845-4268-8f65-90cf4ea80712_SiteId">
    <vt:lpwstr>4bed7fe3-f410-4076-9052-b7b894eafffe</vt:lpwstr>
  </property>
  <property fmtid="{D5CDD505-2E9C-101B-9397-08002B2CF9AE}" pid="4" name="MSIP_Label_8eaa0aa9-7845-4268-8f65-90cf4ea80712_Owner">
    <vt:lpwstr>simon.hahn@durham-pcc.gov.uk</vt:lpwstr>
  </property>
  <property fmtid="{D5CDD505-2E9C-101B-9397-08002B2CF9AE}" pid="5" name="MSIP_Label_8eaa0aa9-7845-4268-8f65-90cf4ea80712_SetDate">
    <vt:lpwstr>2021-03-01T08:45:18.8218339Z</vt:lpwstr>
  </property>
  <property fmtid="{D5CDD505-2E9C-101B-9397-08002B2CF9AE}" pid="6" name="MSIP_Label_8eaa0aa9-7845-4268-8f65-90cf4ea80712_Name">
    <vt:lpwstr>OFFICIAL</vt:lpwstr>
  </property>
  <property fmtid="{D5CDD505-2E9C-101B-9397-08002B2CF9AE}" pid="7" name="MSIP_Label_8eaa0aa9-7845-4268-8f65-90cf4ea80712_Application">
    <vt:lpwstr>Microsoft Azure Information Protection</vt:lpwstr>
  </property>
  <property fmtid="{D5CDD505-2E9C-101B-9397-08002B2CF9AE}" pid="8" name="MSIP_Label_8eaa0aa9-7845-4268-8f65-90cf4ea80712_ActionId">
    <vt:lpwstr>555a47f5-ae75-40b5-852e-d853dfeebd97</vt:lpwstr>
  </property>
  <property fmtid="{D5CDD505-2E9C-101B-9397-08002B2CF9AE}" pid="9" name="MSIP_Label_8eaa0aa9-7845-4268-8f65-90cf4ea80712_Extended_MSFT_Method">
    <vt:lpwstr>Automatic</vt:lpwstr>
  </property>
  <property fmtid="{D5CDD505-2E9C-101B-9397-08002B2CF9AE}" pid="10" name="Sensitivity">
    <vt:lpwstr>OFFICIAL</vt:lpwstr>
  </property>
</Properties>
</file>