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49049ACB" w14:textId="77777777" w:rsidTr="0090536B">
        <w:trPr>
          <w:trHeight w:val="533"/>
        </w:trPr>
        <w:tc>
          <w:tcPr>
            <w:tcW w:w="8568" w:type="dxa"/>
            <w:tcBorders>
              <w:bottom w:val="single" w:sz="4" w:space="0" w:color="000000"/>
            </w:tcBorders>
            <w:shd w:val="clear" w:color="auto" w:fill="DBE5F1" w:themeFill="accent1" w:themeFillTint="33"/>
            <w:vAlign w:val="center"/>
          </w:tcPr>
          <w:p w14:paraId="3CB07537"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588D8A6F" w14:textId="77777777" w:rsidR="00305D11" w:rsidRPr="00E72307" w:rsidRDefault="00305D11" w:rsidP="000E446D">
            <w:pPr>
              <w:keepNext/>
              <w:keepLines/>
              <w:tabs>
                <w:tab w:val="left" w:pos="6024"/>
                <w:tab w:val="left" w:pos="7159"/>
              </w:tabs>
              <w:autoSpaceDE w:val="0"/>
              <w:autoSpaceDN w:val="0"/>
              <w:adjustRightInd w:val="0"/>
              <w:jc w:val="center"/>
              <w:rPr>
                <w:rFonts w:cs="Arial"/>
                <w:b/>
                <w:sz w:val="20"/>
                <w:szCs w:val="20"/>
              </w:rPr>
            </w:pPr>
            <w:r w:rsidRPr="00E72307">
              <w:rPr>
                <w:rFonts w:cs="Arial"/>
                <w:b/>
                <w:sz w:val="20"/>
                <w:szCs w:val="20"/>
              </w:rPr>
              <w:t>Result</w:t>
            </w:r>
            <w:r>
              <w:rPr>
                <w:rFonts w:cs="Arial"/>
                <w:b/>
                <w:sz w:val="20"/>
                <w:szCs w:val="20"/>
              </w:rPr>
              <w:t>s as of</w:t>
            </w:r>
            <w:r w:rsidR="002733B9">
              <w:rPr>
                <w:rFonts w:cs="Arial"/>
                <w:b/>
                <w:sz w:val="20"/>
                <w:szCs w:val="20"/>
              </w:rPr>
              <w:t xml:space="preserve"> </w:t>
            </w:r>
            <w:r w:rsidR="000E446D">
              <w:rPr>
                <w:rFonts w:cs="Arial"/>
                <w:b/>
                <w:sz w:val="20"/>
                <w:szCs w:val="20"/>
              </w:rPr>
              <w:t>2017</w:t>
            </w:r>
            <w:r w:rsidR="0090536B">
              <w:rPr>
                <w:rFonts w:cs="Arial"/>
                <w:b/>
                <w:sz w:val="20"/>
                <w:szCs w:val="20"/>
              </w:rPr>
              <w:t>-1</w:t>
            </w:r>
            <w:r w:rsidR="000E446D">
              <w:rPr>
                <w:rFonts w:cs="Arial"/>
                <w:b/>
                <w:sz w:val="20"/>
                <w:szCs w:val="20"/>
              </w:rPr>
              <w:t>8</w:t>
            </w:r>
          </w:p>
        </w:tc>
      </w:tr>
      <w:tr w:rsidR="00305D11" w:rsidRPr="00E72307" w14:paraId="042F20C6" w14:textId="77777777" w:rsidTr="000032F8">
        <w:trPr>
          <w:trHeight w:val="659"/>
        </w:trPr>
        <w:tc>
          <w:tcPr>
            <w:tcW w:w="9738" w:type="dxa"/>
            <w:gridSpan w:val="2"/>
            <w:tcBorders>
              <w:bottom w:val="single" w:sz="4" w:space="0" w:color="000000"/>
            </w:tcBorders>
            <w:shd w:val="clear" w:color="auto" w:fill="auto"/>
            <w:vAlign w:val="center"/>
          </w:tcPr>
          <w:p w14:paraId="50B328C0"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4B5B7719" w14:textId="77777777" w:rsidTr="0090536B">
        <w:trPr>
          <w:trHeight w:val="443"/>
        </w:trPr>
        <w:tc>
          <w:tcPr>
            <w:tcW w:w="8568" w:type="dxa"/>
            <w:tcBorders>
              <w:top w:val="single" w:sz="4" w:space="0" w:color="000000"/>
              <w:bottom w:val="single" w:sz="4" w:space="0" w:color="auto"/>
            </w:tcBorders>
            <w:shd w:val="clear" w:color="auto" w:fill="auto"/>
            <w:vAlign w:val="center"/>
          </w:tcPr>
          <w:p w14:paraId="1F09094C"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38B67962" w14:textId="7224DF71" w:rsidR="00305D11" w:rsidRPr="00E72307" w:rsidRDefault="002815D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w:t>
            </w:r>
          </w:p>
        </w:tc>
      </w:tr>
      <w:tr w:rsidR="00D011D2" w:rsidRPr="00E72307" w14:paraId="09AB47F1" w14:textId="77777777" w:rsidTr="0090536B">
        <w:trPr>
          <w:trHeight w:val="443"/>
        </w:trPr>
        <w:tc>
          <w:tcPr>
            <w:tcW w:w="8568" w:type="dxa"/>
            <w:tcBorders>
              <w:top w:val="single" w:sz="4" w:space="0" w:color="000000"/>
              <w:bottom w:val="single" w:sz="4" w:space="0" w:color="auto"/>
            </w:tcBorders>
            <w:shd w:val="clear" w:color="auto" w:fill="auto"/>
            <w:vAlign w:val="center"/>
          </w:tcPr>
          <w:p w14:paraId="0EF4D366"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615EB74F" w14:textId="0B9CD39C" w:rsidR="00D011D2" w:rsidRPr="00E72307" w:rsidRDefault="002815DB"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7D41A224" w14:textId="77777777" w:rsidTr="0090536B">
        <w:trPr>
          <w:trHeight w:val="463"/>
        </w:trPr>
        <w:tc>
          <w:tcPr>
            <w:tcW w:w="8568" w:type="dxa"/>
            <w:tcBorders>
              <w:top w:val="single" w:sz="4" w:space="0" w:color="auto"/>
            </w:tcBorders>
            <w:shd w:val="clear" w:color="auto" w:fill="auto"/>
            <w:vAlign w:val="center"/>
          </w:tcPr>
          <w:p w14:paraId="0AF38DCB"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3C9362CA"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7F5AA300" w14:textId="77777777" w:rsidTr="0090536B">
        <w:trPr>
          <w:trHeight w:val="463"/>
        </w:trPr>
        <w:tc>
          <w:tcPr>
            <w:tcW w:w="8568" w:type="dxa"/>
            <w:shd w:val="clear" w:color="auto" w:fill="auto"/>
            <w:vAlign w:val="center"/>
          </w:tcPr>
          <w:p w14:paraId="59F63936"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55FDA974" w14:textId="4B9C20FF" w:rsidR="003E2596" w:rsidRPr="00E72307" w:rsidRDefault="002815D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16</w:t>
            </w:r>
          </w:p>
        </w:tc>
      </w:tr>
      <w:tr w:rsidR="003E2596" w:rsidRPr="00E72307" w14:paraId="6CA6CDD8" w14:textId="77777777" w:rsidTr="0090536B">
        <w:trPr>
          <w:trHeight w:val="463"/>
        </w:trPr>
        <w:tc>
          <w:tcPr>
            <w:tcW w:w="8568" w:type="dxa"/>
            <w:shd w:val="clear" w:color="auto" w:fill="auto"/>
            <w:vAlign w:val="center"/>
          </w:tcPr>
          <w:p w14:paraId="532C2B5D"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60886C12" w14:textId="02B25392" w:rsidR="003E2596" w:rsidRPr="00E72307" w:rsidRDefault="002815D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363</w:t>
            </w:r>
          </w:p>
        </w:tc>
      </w:tr>
      <w:tr w:rsidR="003E2596" w:rsidRPr="00E72307" w14:paraId="66B3AC2A" w14:textId="77777777" w:rsidTr="0090536B">
        <w:trPr>
          <w:trHeight w:val="463"/>
        </w:trPr>
        <w:tc>
          <w:tcPr>
            <w:tcW w:w="8568" w:type="dxa"/>
            <w:shd w:val="clear" w:color="auto" w:fill="auto"/>
            <w:vAlign w:val="center"/>
          </w:tcPr>
          <w:p w14:paraId="5633D978"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1E2AB02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50DC0C5D" w14:textId="77777777" w:rsidTr="0090536B">
        <w:trPr>
          <w:trHeight w:val="355"/>
        </w:trPr>
        <w:tc>
          <w:tcPr>
            <w:tcW w:w="8568" w:type="dxa"/>
            <w:shd w:val="clear" w:color="auto" w:fill="auto"/>
            <w:vAlign w:val="center"/>
          </w:tcPr>
          <w:p w14:paraId="15E0C0B8" w14:textId="1256B052"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r w:rsidR="001627A6">
              <w:rPr>
                <w:rFonts w:cs="Arial"/>
                <w:sz w:val="20"/>
                <w:szCs w:val="20"/>
              </w:rPr>
              <w:t xml:space="preserve"> </w:t>
            </w:r>
          </w:p>
        </w:tc>
        <w:tc>
          <w:tcPr>
            <w:tcW w:w="1170" w:type="dxa"/>
            <w:shd w:val="clear" w:color="auto" w:fill="auto"/>
            <w:vAlign w:val="center"/>
          </w:tcPr>
          <w:p w14:paraId="6A4E172D" w14:textId="13C18922" w:rsidR="00BE6567" w:rsidRPr="00E72307" w:rsidRDefault="001627A6" w:rsidP="002815DB">
            <w:pPr>
              <w:keepNext/>
              <w:keepLines/>
              <w:tabs>
                <w:tab w:val="left" w:pos="6024"/>
                <w:tab w:val="left" w:pos="7159"/>
              </w:tabs>
              <w:autoSpaceDE w:val="0"/>
              <w:autoSpaceDN w:val="0"/>
              <w:adjustRightInd w:val="0"/>
              <w:rPr>
                <w:rFonts w:cs="Arial"/>
                <w:b/>
                <w:sz w:val="20"/>
                <w:szCs w:val="20"/>
              </w:rPr>
            </w:pPr>
            <w:r>
              <w:rPr>
                <w:rFonts w:cs="Arial"/>
                <w:b/>
                <w:sz w:val="20"/>
                <w:szCs w:val="20"/>
              </w:rPr>
              <w:t xml:space="preserve">* </w:t>
            </w:r>
            <w:r w:rsidR="002815DB">
              <w:rPr>
                <w:rFonts w:cs="Arial"/>
                <w:b/>
                <w:sz w:val="20"/>
                <w:szCs w:val="20"/>
              </w:rPr>
              <w:t>$128,881</w:t>
            </w:r>
          </w:p>
        </w:tc>
      </w:tr>
      <w:tr w:rsidR="004E0068" w:rsidRPr="00E72307" w14:paraId="452FBFAB" w14:textId="77777777" w:rsidTr="0090536B">
        <w:trPr>
          <w:trHeight w:val="355"/>
        </w:trPr>
        <w:tc>
          <w:tcPr>
            <w:tcW w:w="8568" w:type="dxa"/>
            <w:shd w:val="clear" w:color="auto" w:fill="auto"/>
            <w:vAlign w:val="center"/>
          </w:tcPr>
          <w:p w14:paraId="24D31EA8"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524BE8D3" w14:textId="5EDA3FB9" w:rsidR="004E0068" w:rsidRPr="00E72307" w:rsidRDefault="002815D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3E2596" w:rsidRPr="00E72307" w14:paraId="6A10FBD4" w14:textId="77777777" w:rsidTr="0090536B">
        <w:trPr>
          <w:trHeight w:val="355"/>
        </w:trPr>
        <w:tc>
          <w:tcPr>
            <w:tcW w:w="8568" w:type="dxa"/>
            <w:shd w:val="clear" w:color="auto" w:fill="auto"/>
            <w:vAlign w:val="center"/>
          </w:tcPr>
          <w:p w14:paraId="53D8D4DE"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406B2902" w14:textId="6B188D30" w:rsidR="003E2596" w:rsidRPr="00E72307" w:rsidRDefault="002815D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30</w:t>
            </w:r>
          </w:p>
        </w:tc>
      </w:tr>
      <w:tr w:rsidR="003E2596" w:rsidRPr="00E72307" w14:paraId="332CD1AF" w14:textId="77777777" w:rsidTr="000032F8">
        <w:trPr>
          <w:trHeight w:val="562"/>
        </w:trPr>
        <w:tc>
          <w:tcPr>
            <w:tcW w:w="9738" w:type="dxa"/>
            <w:gridSpan w:val="2"/>
            <w:shd w:val="clear" w:color="auto" w:fill="auto"/>
            <w:vAlign w:val="center"/>
          </w:tcPr>
          <w:p w14:paraId="2899E682"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2815DB" w14:paraId="30BD9E17" w14:textId="77777777" w:rsidTr="004C2B63">
        <w:tc>
          <w:tcPr>
            <w:tcW w:w="9738" w:type="dxa"/>
            <w:vAlign w:val="center"/>
          </w:tcPr>
          <w:p w14:paraId="24B99990" w14:textId="11EA2B6C" w:rsidR="002815DB" w:rsidRPr="001627A6" w:rsidRDefault="001627A6" w:rsidP="002815DB">
            <w:pPr>
              <w:spacing w:before="240"/>
              <w:rPr>
                <w:rFonts w:cs="Arial"/>
              </w:rPr>
            </w:pPr>
            <w:r w:rsidRPr="001627A6">
              <w:rPr>
                <w:rFonts w:cs="Arial"/>
                <w:highlight w:val="yellow"/>
              </w:rPr>
              <w:t>*</w:t>
            </w:r>
            <w:r w:rsidR="002815DB" w:rsidRPr="001627A6">
              <w:rPr>
                <w:rFonts w:cs="Arial"/>
                <w:highlight w:val="yellow"/>
              </w:rPr>
              <w:t>We disbursed an additional $379,125.00 with other investment funding bringing our total number of loans to 21.</w:t>
            </w:r>
          </w:p>
          <w:p w14:paraId="1568C2E9" w14:textId="77777777" w:rsidR="002815DB" w:rsidRDefault="002815DB" w:rsidP="002815DB">
            <w:pPr>
              <w:spacing w:before="240"/>
              <w:rPr>
                <w:rFonts w:cs="Arial"/>
                <w:sz w:val="20"/>
                <w:szCs w:val="20"/>
              </w:rPr>
            </w:pPr>
          </w:p>
          <w:p w14:paraId="45217CCD" w14:textId="7F4501F3" w:rsidR="002815DB" w:rsidRDefault="002815DB" w:rsidP="002815DB">
            <w:pPr>
              <w:spacing w:before="240"/>
              <w:rPr>
                <w:rFonts w:cs="Arial"/>
                <w:sz w:val="20"/>
                <w:szCs w:val="20"/>
              </w:rPr>
            </w:pPr>
          </w:p>
        </w:tc>
      </w:tr>
    </w:tbl>
    <w:p w14:paraId="7566951F" w14:textId="77777777" w:rsidR="00F105C2" w:rsidRDefault="00F105C2" w:rsidP="00476214">
      <w:pPr>
        <w:spacing w:before="240"/>
        <w:rPr>
          <w:rFonts w:cs="Arial"/>
          <w:b/>
          <w:i/>
          <w:sz w:val="24"/>
          <w:szCs w:val="20"/>
          <w:u w:val="single"/>
        </w:rPr>
      </w:pPr>
      <w:bookmarkStart w:id="0" w:name="_GoBack"/>
      <w:bookmarkEnd w:id="0"/>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4088" w14:textId="77777777" w:rsidR="00E6620A" w:rsidRDefault="00E6620A" w:rsidP="00CC123A">
      <w:pPr>
        <w:spacing w:after="0" w:line="240" w:lineRule="auto"/>
      </w:pPr>
      <w:r>
        <w:separator/>
      </w:r>
    </w:p>
  </w:endnote>
  <w:endnote w:type="continuationSeparator" w:id="0">
    <w:p w14:paraId="3B0DC6EB" w14:textId="77777777" w:rsidR="00E6620A" w:rsidRDefault="00E6620A"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1AF1" w14:textId="77777777" w:rsidR="00E6620A" w:rsidRDefault="00E6620A" w:rsidP="00CC123A">
      <w:pPr>
        <w:spacing w:after="0" w:line="240" w:lineRule="auto"/>
      </w:pPr>
      <w:r>
        <w:separator/>
      </w:r>
    </w:p>
  </w:footnote>
  <w:footnote w:type="continuationSeparator" w:id="0">
    <w:p w14:paraId="3FEEBC2B" w14:textId="77777777" w:rsidR="00E6620A" w:rsidRDefault="00E6620A" w:rsidP="00CC123A">
      <w:pPr>
        <w:spacing w:after="0" w:line="240" w:lineRule="auto"/>
      </w:pPr>
      <w:r>
        <w:continuationSeparator/>
      </w:r>
    </w:p>
  </w:footnote>
  <w:footnote w:id="1">
    <w:p w14:paraId="29958F27"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F4B3"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EF60" w14:textId="77777777"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201</w:t>
    </w:r>
    <w:r w:rsidR="00416424">
      <w:t>7</w:t>
    </w:r>
    <w:r>
      <w:t>-1</w:t>
    </w:r>
    <w:r w:rsidR="00416424">
      <w:t>8</w:t>
    </w:r>
    <w:r w:rsidR="00A9055B">
      <w:t xml:space="preserve">   </w:t>
    </w:r>
    <w:r w:rsidR="002815DB">
      <w:rPr>
        <w:u w:val="single"/>
      </w:rPr>
      <w:t>Community Futures of the Pacific Northwest</w:t>
    </w:r>
    <w:r w:rsidR="00903BAE" w:rsidRPr="00903BAE">
      <w:rPr>
        <w:rFonts w:cs="Arial"/>
        <w:b/>
        <w:sz w:val="20"/>
        <w:szCs w:val="20"/>
      </w:rPr>
      <w:t xml:space="preserve"> </w:t>
    </w:r>
  </w:p>
  <w:p w14:paraId="27AEFCD5"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124D7E"/>
    <w:rsid w:val="00136C60"/>
    <w:rsid w:val="001627A6"/>
    <w:rsid w:val="00164DFE"/>
    <w:rsid w:val="001A0388"/>
    <w:rsid w:val="001A55FE"/>
    <w:rsid w:val="001A5D7A"/>
    <w:rsid w:val="001F63A6"/>
    <w:rsid w:val="00204964"/>
    <w:rsid w:val="0022039D"/>
    <w:rsid w:val="002733B9"/>
    <w:rsid w:val="002815DB"/>
    <w:rsid w:val="002B1845"/>
    <w:rsid w:val="002F0A60"/>
    <w:rsid w:val="00305D11"/>
    <w:rsid w:val="00326C17"/>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3129F"/>
    <w:rsid w:val="00637BD2"/>
    <w:rsid w:val="006C2CCB"/>
    <w:rsid w:val="006C565E"/>
    <w:rsid w:val="006C618A"/>
    <w:rsid w:val="006F5326"/>
    <w:rsid w:val="00716865"/>
    <w:rsid w:val="00716BF1"/>
    <w:rsid w:val="0074505F"/>
    <w:rsid w:val="00790628"/>
    <w:rsid w:val="008070B2"/>
    <w:rsid w:val="00855202"/>
    <w:rsid w:val="00876ADF"/>
    <w:rsid w:val="008835BB"/>
    <w:rsid w:val="008B0CCB"/>
    <w:rsid w:val="008F7F84"/>
    <w:rsid w:val="00903BAE"/>
    <w:rsid w:val="0090536B"/>
    <w:rsid w:val="009212B6"/>
    <w:rsid w:val="009E0EEA"/>
    <w:rsid w:val="009F415F"/>
    <w:rsid w:val="00A57ABB"/>
    <w:rsid w:val="00A9055B"/>
    <w:rsid w:val="00A94AED"/>
    <w:rsid w:val="00B069C6"/>
    <w:rsid w:val="00B3074E"/>
    <w:rsid w:val="00B65BB9"/>
    <w:rsid w:val="00B86B60"/>
    <w:rsid w:val="00BB1612"/>
    <w:rsid w:val="00BD0981"/>
    <w:rsid w:val="00BE6567"/>
    <w:rsid w:val="00C7787C"/>
    <w:rsid w:val="00C85229"/>
    <w:rsid w:val="00CC123A"/>
    <w:rsid w:val="00CE1F1B"/>
    <w:rsid w:val="00D011D2"/>
    <w:rsid w:val="00D27BC2"/>
    <w:rsid w:val="00D67217"/>
    <w:rsid w:val="00DF03C1"/>
    <w:rsid w:val="00E351D5"/>
    <w:rsid w:val="00E361E6"/>
    <w:rsid w:val="00E514E4"/>
    <w:rsid w:val="00E6620A"/>
    <w:rsid w:val="00E72307"/>
    <w:rsid w:val="00E81EA2"/>
    <w:rsid w:val="00E9578A"/>
    <w:rsid w:val="00EC74F0"/>
    <w:rsid w:val="00F019C9"/>
    <w:rsid w:val="00F105C2"/>
    <w:rsid w:val="00F40352"/>
    <w:rsid w:val="00F464A9"/>
    <w:rsid w:val="00F609C9"/>
    <w:rsid w:val="00FA471E"/>
    <w:rsid w:val="00FA66F7"/>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D44A"/>
  <w15:docId w15:val="{8348E604-9BB9-4807-A662-95E23069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1CCC-13A8-4E51-9CAA-02113731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Marlene Lindquist</cp:lastModifiedBy>
  <cp:revision>4</cp:revision>
  <cp:lastPrinted>2018-05-31T16:45:00Z</cp:lastPrinted>
  <dcterms:created xsi:type="dcterms:W3CDTF">2018-05-31T16:26:00Z</dcterms:created>
  <dcterms:modified xsi:type="dcterms:W3CDTF">2018-05-31T16:56:00Z</dcterms:modified>
</cp:coreProperties>
</file>