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873A" w14:textId="77777777" w:rsidR="000E79B4" w:rsidRDefault="00BB55E9" w:rsidP="00635D40">
      <w:pPr>
        <w:pStyle w:val="paragraph"/>
        <w:spacing w:before="0" w:beforeAutospacing="0" w:after="0" w:afterAutospacing="0" w:line="360" w:lineRule="auto"/>
        <w:ind w:left="-360" w:right="270"/>
        <w:textAlignment w:val="baseline"/>
        <w:rPr>
          <w:rStyle w:val="eop"/>
          <w:rFonts w:ascii="Arial" w:hAnsi="Arial" w:cs="Arial"/>
          <w:b/>
          <w:sz w:val="20"/>
          <w:szCs w:val="20"/>
        </w:rPr>
      </w:pPr>
      <w:bookmarkStart w:id="0" w:name="_GoBack"/>
      <w:bookmarkEnd w:id="0"/>
      <w:r w:rsidRPr="00291842">
        <w:rPr>
          <w:rStyle w:val="normaltextrun"/>
          <w:rFonts w:ascii="Arial" w:hAnsi="Arial" w:cs="Arial"/>
          <w:b/>
          <w:iCs/>
          <w:sz w:val="20"/>
          <w:szCs w:val="20"/>
          <w:lang w:val="en-GB"/>
        </w:rPr>
        <w:t>Purpose</w:t>
      </w:r>
      <w:r w:rsidRPr="00291842">
        <w:rPr>
          <w:rStyle w:val="eop"/>
          <w:rFonts w:ascii="Arial" w:hAnsi="Arial" w:cs="Arial"/>
          <w:b/>
          <w:sz w:val="20"/>
          <w:szCs w:val="20"/>
        </w:rPr>
        <w:t> </w:t>
      </w:r>
    </w:p>
    <w:p w14:paraId="6EBDF26D" w14:textId="2C464A23" w:rsidR="00BB55E9" w:rsidRPr="00635D40" w:rsidRDefault="000E79B4" w:rsidP="00635D40">
      <w:pPr>
        <w:pStyle w:val="paragraph"/>
        <w:spacing w:before="0" w:beforeAutospacing="0" w:after="0" w:afterAutospacing="0" w:line="360" w:lineRule="auto"/>
        <w:ind w:left="-360" w:right="270"/>
        <w:textAlignment w:val="baseline"/>
        <w:rPr>
          <w:rFonts w:ascii="Arial" w:hAnsi="Arial" w:cs="Arial"/>
          <w:sz w:val="20"/>
          <w:szCs w:val="20"/>
          <w:lang w:val="en-GB"/>
        </w:rPr>
      </w:pPr>
      <w:r w:rsidRPr="000E79B4">
        <w:rPr>
          <w:rFonts w:ascii="Arial" w:hAnsi="Arial" w:cs="Arial"/>
          <w:sz w:val="20"/>
          <w:szCs w:val="20"/>
          <w:lang w:val="en-GB"/>
        </w:rPr>
        <w:t xml:space="preserve">This is one of two Role Clarification tools intended to </w:t>
      </w:r>
      <w:r w:rsidR="0032721C">
        <w:rPr>
          <w:rFonts w:ascii="Arial" w:hAnsi="Arial" w:cs="Arial"/>
          <w:sz w:val="20"/>
          <w:szCs w:val="20"/>
          <w:lang w:val="en-GB"/>
        </w:rPr>
        <w:t>help</w:t>
      </w:r>
      <w:r w:rsidR="0032721C" w:rsidRPr="000E79B4">
        <w:rPr>
          <w:rFonts w:ascii="Arial" w:hAnsi="Arial" w:cs="Arial"/>
          <w:sz w:val="20"/>
          <w:szCs w:val="20"/>
          <w:lang w:val="en-GB"/>
        </w:rPr>
        <w:t xml:space="preserve"> </w:t>
      </w:r>
      <w:r w:rsidRPr="000E79B4">
        <w:rPr>
          <w:rFonts w:ascii="Arial" w:hAnsi="Arial" w:cs="Arial"/>
          <w:sz w:val="20"/>
          <w:szCs w:val="20"/>
          <w:lang w:val="en-GB"/>
        </w:rPr>
        <w:t>NGOs and their community partners organiz</w:t>
      </w:r>
      <w:r w:rsidR="0032721C">
        <w:rPr>
          <w:rFonts w:ascii="Arial" w:hAnsi="Arial" w:cs="Arial"/>
          <w:sz w:val="20"/>
          <w:szCs w:val="20"/>
          <w:lang w:val="en-GB"/>
        </w:rPr>
        <w:t>e</w:t>
      </w:r>
      <w:r w:rsidRPr="000E79B4">
        <w:rPr>
          <w:rFonts w:ascii="Arial" w:hAnsi="Arial" w:cs="Arial"/>
          <w:sz w:val="20"/>
          <w:szCs w:val="20"/>
          <w:lang w:val="en-GB"/>
        </w:rPr>
        <w:t xml:space="preserve"> decision-makers into their respective roles on various decisions and actions. By outlining the decision process for financial, logistical, and policy decisions, an implementing NGO can ensure that the appropriate channels are followed and</w:t>
      </w:r>
      <w:r w:rsidR="007E59D1">
        <w:rPr>
          <w:rFonts w:ascii="Arial" w:hAnsi="Arial" w:cs="Arial"/>
          <w:sz w:val="20"/>
          <w:szCs w:val="20"/>
          <w:lang w:val="en-GB"/>
        </w:rPr>
        <w:t xml:space="preserve"> that</w:t>
      </w:r>
      <w:r w:rsidRPr="000E79B4">
        <w:rPr>
          <w:rFonts w:ascii="Arial" w:hAnsi="Arial" w:cs="Arial"/>
          <w:sz w:val="20"/>
          <w:szCs w:val="20"/>
          <w:lang w:val="en-GB"/>
        </w:rPr>
        <w:t xml:space="preserve"> there is no ambiguity in responsibility. The completed worksheet should be shared externally and reviewed when necessary. </w:t>
      </w:r>
      <w:r w:rsidR="00635D40">
        <w:rPr>
          <w:rFonts w:ascii="Arial" w:hAnsi="Arial" w:cs="Arial"/>
          <w:sz w:val="20"/>
          <w:szCs w:val="20"/>
          <w:lang w:val="en-GB"/>
        </w:rPr>
        <w:br/>
      </w:r>
    </w:p>
    <w:p w14:paraId="10B6C052" w14:textId="0F9CC02D" w:rsidR="00130823" w:rsidRDefault="00BB55E9" w:rsidP="001868A1">
      <w:pPr>
        <w:pStyle w:val="paragraph"/>
        <w:spacing w:before="0" w:beforeAutospacing="0" w:after="0" w:afterAutospacing="0" w:line="360" w:lineRule="auto"/>
        <w:ind w:left="-360" w:right="270"/>
        <w:textAlignment w:val="baseline"/>
        <w:rPr>
          <w:rFonts w:ascii="Arial" w:hAnsi="Arial" w:cs="Arial"/>
          <w:sz w:val="20"/>
          <w:szCs w:val="20"/>
        </w:rPr>
      </w:pPr>
      <w:r w:rsidRPr="00CA1F06">
        <w:rPr>
          <w:rStyle w:val="normaltextrun"/>
          <w:rFonts w:ascii="Arial" w:hAnsi="Arial" w:cs="Arial"/>
          <w:b/>
          <w:iCs/>
          <w:sz w:val="20"/>
          <w:szCs w:val="20"/>
          <w:lang w:val="en-GB"/>
        </w:rPr>
        <w:t>How to use this tool</w:t>
      </w:r>
      <w:r w:rsidRPr="00CA1F06">
        <w:rPr>
          <w:rStyle w:val="eop"/>
          <w:rFonts w:ascii="Arial" w:hAnsi="Arial" w:cs="Arial"/>
          <w:b/>
          <w:sz w:val="20"/>
          <w:szCs w:val="20"/>
        </w:rPr>
        <w:t> </w:t>
      </w:r>
      <w:r w:rsidR="00130823">
        <w:rPr>
          <w:rStyle w:val="eop"/>
          <w:rFonts w:ascii="Arial" w:hAnsi="Arial" w:cs="Arial"/>
          <w:b/>
          <w:sz w:val="20"/>
          <w:szCs w:val="20"/>
        </w:rPr>
        <w:br/>
      </w:r>
      <w:r w:rsidR="00130823" w:rsidRPr="00130823">
        <w:rPr>
          <w:rFonts w:ascii="Arial" w:hAnsi="Arial" w:cs="Arial"/>
          <w:sz w:val="20"/>
          <w:szCs w:val="20"/>
          <w:lang w:val="en-GB"/>
        </w:rPr>
        <w:t xml:space="preserve">This tool should be completed by NGO and community leadership. As it may spark discussion on individuals’ contractual roles and responsibilities, it is often crucial </w:t>
      </w:r>
      <w:r w:rsidR="00317A57">
        <w:rPr>
          <w:rFonts w:ascii="Arial" w:hAnsi="Arial" w:cs="Arial"/>
          <w:sz w:val="20"/>
          <w:szCs w:val="20"/>
          <w:lang w:val="en-GB"/>
        </w:rPr>
        <w:t>that</w:t>
      </w:r>
      <w:r w:rsidR="00130823" w:rsidRPr="00130823">
        <w:rPr>
          <w:rFonts w:ascii="Arial" w:hAnsi="Arial" w:cs="Arial"/>
          <w:sz w:val="20"/>
          <w:szCs w:val="20"/>
          <w:lang w:val="en-GB"/>
        </w:rPr>
        <w:t xml:space="preserve"> members from multiple departments </w:t>
      </w:r>
      <w:r w:rsidR="00317A57">
        <w:rPr>
          <w:rFonts w:ascii="Arial" w:hAnsi="Arial" w:cs="Arial"/>
          <w:sz w:val="20"/>
          <w:szCs w:val="20"/>
          <w:lang w:val="en-GB"/>
        </w:rPr>
        <w:t xml:space="preserve">be </w:t>
      </w:r>
      <w:r w:rsidR="00130823" w:rsidRPr="00130823">
        <w:rPr>
          <w:rFonts w:ascii="Arial" w:hAnsi="Arial" w:cs="Arial"/>
          <w:sz w:val="20"/>
          <w:szCs w:val="20"/>
          <w:lang w:val="en-GB"/>
        </w:rPr>
        <w:t>present, particularly human resources, contracts, and finance departments.</w:t>
      </w:r>
      <w:r w:rsidR="005353F8">
        <w:rPr>
          <w:rFonts w:ascii="Arial" w:hAnsi="Arial" w:cs="Arial"/>
          <w:sz w:val="20"/>
          <w:szCs w:val="20"/>
          <w:lang w:val="en-GB"/>
        </w:rPr>
        <w:t xml:space="preserve"> </w:t>
      </w:r>
      <w:r w:rsidR="00130823" w:rsidRPr="00130823">
        <w:rPr>
          <w:rFonts w:ascii="Arial" w:hAnsi="Arial" w:cs="Arial"/>
          <w:sz w:val="20"/>
          <w:szCs w:val="20"/>
          <w:lang w:val="en-GB"/>
        </w:rPr>
        <w:t xml:space="preserve">The discussion can begin with creating a list of decision-makers and those affected by NGO and community partner decisions. Oftentimes, the results from </w:t>
      </w:r>
      <w:r w:rsidR="00130823" w:rsidRPr="00291589">
        <w:rPr>
          <w:rFonts w:ascii="Arial" w:hAnsi="Arial" w:cs="Arial"/>
          <w:sz w:val="20"/>
          <w:szCs w:val="20"/>
          <w:lang w:val="en-GB"/>
        </w:rPr>
        <w:t>Stakeholder Mapping</w:t>
      </w:r>
      <w:r w:rsidR="00130823" w:rsidRPr="00130823">
        <w:rPr>
          <w:rFonts w:ascii="Arial" w:hAnsi="Arial" w:cs="Arial"/>
          <w:sz w:val="20"/>
          <w:szCs w:val="20"/>
          <w:lang w:val="en-GB"/>
        </w:rPr>
        <w:t xml:space="preserve"> exercises (</w:t>
      </w:r>
      <w:r w:rsidR="00130823" w:rsidRPr="00130823">
        <w:rPr>
          <w:rFonts w:ascii="Arial" w:hAnsi="Arial" w:cs="Arial"/>
          <w:b/>
          <w:bCs/>
          <w:sz w:val="20"/>
          <w:szCs w:val="20"/>
          <w:lang w:val="en-GB"/>
        </w:rPr>
        <w:t>Tools 5.1</w:t>
      </w:r>
      <w:r w:rsidR="00130823" w:rsidRPr="00130823">
        <w:rPr>
          <w:rFonts w:ascii="Arial" w:hAnsi="Arial" w:cs="Arial"/>
          <w:sz w:val="20"/>
          <w:szCs w:val="20"/>
          <w:lang w:val="en-GB"/>
        </w:rPr>
        <w:t> and </w:t>
      </w:r>
      <w:r w:rsidR="00130823" w:rsidRPr="00130823">
        <w:rPr>
          <w:rFonts w:ascii="Arial" w:hAnsi="Arial" w:cs="Arial"/>
          <w:b/>
          <w:bCs/>
          <w:sz w:val="20"/>
          <w:szCs w:val="20"/>
          <w:lang w:val="en-GB"/>
        </w:rPr>
        <w:t>5.2</w:t>
      </w:r>
      <w:r w:rsidR="00130823" w:rsidRPr="00130823">
        <w:rPr>
          <w:rFonts w:ascii="Arial" w:hAnsi="Arial" w:cs="Arial"/>
          <w:sz w:val="20"/>
          <w:szCs w:val="20"/>
          <w:lang w:val="en-GB"/>
        </w:rPr>
        <w:t>) and other self-assessment tools can provide the basis for this list. </w:t>
      </w:r>
      <w:r w:rsidR="00130823" w:rsidRPr="00130823">
        <w:rPr>
          <w:rFonts w:ascii="Arial" w:hAnsi="Arial" w:cs="Arial"/>
          <w:sz w:val="20"/>
          <w:szCs w:val="20"/>
        </w:rPr>
        <w:t> </w:t>
      </w:r>
    </w:p>
    <w:p w14:paraId="758E6977" w14:textId="77777777" w:rsidR="00635D40" w:rsidRPr="00130823" w:rsidRDefault="00635D40" w:rsidP="00635D40">
      <w:pPr>
        <w:pStyle w:val="paragraph"/>
        <w:spacing w:before="0" w:beforeAutospacing="0" w:after="0" w:afterAutospacing="0" w:line="360" w:lineRule="auto"/>
        <w:ind w:left="-360" w:right="270"/>
        <w:rPr>
          <w:rFonts w:ascii="Arial" w:hAnsi="Arial" w:cs="Arial"/>
          <w:sz w:val="20"/>
          <w:szCs w:val="20"/>
        </w:rPr>
      </w:pPr>
    </w:p>
    <w:p w14:paraId="7323D4D0" w14:textId="1EF6EC51" w:rsidR="00130823" w:rsidRDefault="00130823" w:rsidP="00635D40">
      <w:pPr>
        <w:pStyle w:val="paragraph"/>
        <w:spacing w:before="0" w:beforeAutospacing="0" w:after="0" w:afterAutospacing="0" w:line="360" w:lineRule="auto"/>
        <w:ind w:left="-360" w:right="270"/>
        <w:rPr>
          <w:rFonts w:ascii="Arial" w:hAnsi="Arial" w:cs="Arial"/>
          <w:sz w:val="20"/>
          <w:szCs w:val="20"/>
        </w:rPr>
      </w:pPr>
      <w:r w:rsidRPr="00130823">
        <w:rPr>
          <w:rFonts w:ascii="Arial" w:hAnsi="Arial" w:cs="Arial"/>
          <w:sz w:val="20"/>
          <w:szCs w:val="20"/>
          <w:lang w:val="en-GB"/>
        </w:rPr>
        <w:t>Next, the NGO and community partners should create a list of decision types. These may include but are not limited to</w:t>
      </w:r>
      <w:r w:rsidR="003476A4">
        <w:rPr>
          <w:rFonts w:ascii="Arial" w:hAnsi="Arial" w:cs="Arial"/>
          <w:sz w:val="20"/>
          <w:szCs w:val="20"/>
          <w:lang w:val="en-GB"/>
        </w:rPr>
        <w:t xml:space="preserve"> the following</w:t>
      </w:r>
      <w:r w:rsidRPr="00130823">
        <w:rPr>
          <w:rFonts w:ascii="Arial" w:hAnsi="Arial" w:cs="Arial"/>
          <w:sz w:val="20"/>
          <w:szCs w:val="20"/>
          <w:lang w:val="en-GB"/>
        </w:rPr>
        <w:t>:</w:t>
      </w:r>
      <w:r w:rsidRPr="00130823">
        <w:rPr>
          <w:rFonts w:ascii="Arial" w:hAnsi="Arial" w:cs="Arial"/>
          <w:sz w:val="20"/>
          <w:szCs w:val="20"/>
        </w:rPr>
        <w:t> </w:t>
      </w:r>
    </w:p>
    <w:p w14:paraId="4DC0630A" w14:textId="77777777" w:rsidR="00635D40" w:rsidRDefault="00635D40" w:rsidP="00635D40">
      <w:pPr>
        <w:pStyle w:val="paragraph"/>
        <w:spacing w:before="0" w:beforeAutospacing="0" w:after="0" w:afterAutospacing="0" w:line="360" w:lineRule="auto"/>
        <w:ind w:left="-360" w:right="270"/>
        <w:rPr>
          <w:rFonts w:ascii="Arial" w:hAnsi="Arial" w:cs="Arial"/>
          <w:sz w:val="20"/>
          <w:szCs w:val="20"/>
        </w:rPr>
      </w:pPr>
    </w:p>
    <w:p w14:paraId="670D39A3" w14:textId="0B852743" w:rsidR="00130823" w:rsidRPr="00130823" w:rsidRDefault="00130823" w:rsidP="001729F1">
      <w:pPr>
        <w:pStyle w:val="paragraph"/>
        <w:numPr>
          <w:ilvl w:val="0"/>
          <w:numId w:val="6"/>
        </w:numPr>
        <w:spacing w:before="0" w:beforeAutospacing="0" w:after="0" w:afterAutospacing="0" w:line="360" w:lineRule="auto"/>
        <w:ind w:left="648"/>
        <w:rPr>
          <w:rFonts w:ascii="Arial" w:hAnsi="Arial" w:cs="Arial"/>
          <w:sz w:val="20"/>
          <w:szCs w:val="20"/>
        </w:rPr>
      </w:pPr>
      <w:r w:rsidRPr="00130823">
        <w:rPr>
          <w:rFonts w:ascii="Arial" w:hAnsi="Arial" w:cs="Arial"/>
          <w:sz w:val="20"/>
          <w:szCs w:val="20"/>
        </w:rPr>
        <w:t>Financial decisions, disaggregated by levels of authority (</w:t>
      </w:r>
      <w:r w:rsidR="00AC3F94">
        <w:rPr>
          <w:rFonts w:ascii="Arial" w:hAnsi="Arial" w:cs="Arial"/>
          <w:sz w:val="20"/>
          <w:szCs w:val="20"/>
        </w:rPr>
        <w:t xml:space="preserve">e.g., </w:t>
      </w:r>
      <w:r w:rsidRPr="00130823">
        <w:rPr>
          <w:rFonts w:ascii="Arial" w:hAnsi="Arial" w:cs="Arial"/>
          <w:sz w:val="20"/>
          <w:szCs w:val="20"/>
        </w:rPr>
        <w:t xml:space="preserve">petty cash, small grants, procurement, large budget decisions) </w:t>
      </w:r>
    </w:p>
    <w:p w14:paraId="34D98867" w14:textId="708DB2D3" w:rsidR="00130823" w:rsidRPr="00130823" w:rsidRDefault="00130823" w:rsidP="001729F1">
      <w:pPr>
        <w:pStyle w:val="paragraph"/>
        <w:numPr>
          <w:ilvl w:val="0"/>
          <w:numId w:val="6"/>
        </w:numPr>
        <w:spacing w:before="0" w:beforeAutospacing="0" w:after="0" w:afterAutospacing="0" w:line="360" w:lineRule="auto"/>
        <w:ind w:left="648"/>
        <w:rPr>
          <w:rFonts w:ascii="Arial" w:hAnsi="Arial" w:cs="Arial"/>
          <w:sz w:val="20"/>
          <w:szCs w:val="20"/>
        </w:rPr>
      </w:pPr>
      <w:r w:rsidRPr="00130823">
        <w:rPr>
          <w:rFonts w:ascii="Arial" w:hAnsi="Arial" w:cs="Arial"/>
          <w:sz w:val="20"/>
          <w:szCs w:val="20"/>
        </w:rPr>
        <w:t xml:space="preserve">Logistical decisions on project timeline and operations </w:t>
      </w:r>
    </w:p>
    <w:p w14:paraId="37C5E9E2" w14:textId="07122C63" w:rsidR="00130823" w:rsidRPr="00130823" w:rsidRDefault="00130823" w:rsidP="001729F1">
      <w:pPr>
        <w:pStyle w:val="paragraph"/>
        <w:numPr>
          <w:ilvl w:val="0"/>
          <w:numId w:val="6"/>
        </w:numPr>
        <w:spacing w:before="0" w:beforeAutospacing="0" w:after="0" w:afterAutospacing="0" w:line="360" w:lineRule="auto"/>
        <w:ind w:left="648"/>
        <w:rPr>
          <w:rFonts w:ascii="Arial" w:hAnsi="Arial" w:cs="Arial"/>
          <w:sz w:val="20"/>
          <w:szCs w:val="20"/>
        </w:rPr>
      </w:pPr>
      <w:r w:rsidRPr="00130823">
        <w:rPr>
          <w:rFonts w:ascii="Arial" w:hAnsi="Arial" w:cs="Arial"/>
          <w:sz w:val="20"/>
          <w:szCs w:val="20"/>
        </w:rPr>
        <w:t xml:space="preserve">Personnel decisions on hiring, benefits, employment terms, and professional development </w:t>
      </w:r>
    </w:p>
    <w:p w14:paraId="27BB16C3" w14:textId="5F3D7C73" w:rsidR="00130823" w:rsidRPr="00130823" w:rsidRDefault="00130823" w:rsidP="001729F1">
      <w:pPr>
        <w:pStyle w:val="paragraph"/>
        <w:numPr>
          <w:ilvl w:val="0"/>
          <w:numId w:val="6"/>
        </w:numPr>
        <w:spacing w:before="0" w:beforeAutospacing="0" w:after="0" w:afterAutospacing="0" w:line="360" w:lineRule="auto"/>
        <w:ind w:left="648"/>
        <w:rPr>
          <w:rFonts w:ascii="Arial" w:hAnsi="Arial" w:cs="Arial"/>
          <w:sz w:val="20"/>
          <w:szCs w:val="20"/>
        </w:rPr>
      </w:pPr>
      <w:r w:rsidRPr="00130823">
        <w:rPr>
          <w:rFonts w:ascii="Arial" w:hAnsi="Arial" w:cs="Arial"/>
          <w:sz w:val="20"/>
          <w:szCs w:val="20"/>
        </w:rPr>
        <w:t xml:space="preserve">Technical decisions on the implementation methods of specific programs  </w:t>
      </w:r>
    </w:p>
    <w:p w14:paraId="7CD8F42C" w14:textId="45D61FF5" w:rsidR="000E79B4" w:rsidRDefault="00130823" w:rsidP="001729F1">
      <w:pPr>
        <w:pStyle w:val="paragraph"/>
        <w:numPr>
          <w:ilvl w:val="0"/>
          <w:numId w:val="6"/>
        </w:numPr>
        <w:spacing w:before="0" w:beforeAutospacing="0" w:after="0" w:afterAutospacing="0" w:line="360" w:lineRule="auto"/>
        <w:ind w:left="648"/>
        <w:rPr>
          <w:rFonts w:ascii="Arial" w:hAnsi="Arial" w:cs="Arial"/>
          <w:sz w:val="20"/>
          <w:szCs w:val="20"/>
        </w:rPr>
      </w:pPr>
      <w:r w:rsidRPr="00130823">
        <w:rPr>
          <w:rFonts w:ascii="Arial" w:hAnsi="Arial" w:cs="Arial"/>
          <w:sz w:val="20"/>
          <w:szCs w:val="20"/>
        </w:rPr>
        <w:t xml:space="preserve">Policy decisions </w:t>
      </w:r>
      <w:r w:rsidR="004E6B61">
        <w:rPr>
          <w:rFonts w:ascii="Arial" w:hAnsi="Arial" w:cs="Arial"/>
          <w:sz w:val="20"/>
          <w:szCs w:val="20"/>
        </w:rPr>
        <w:t xml:space="preserve">(e.g., </w:t>
      </w:r>
      <w:r w:rsidRPr="00130823">
        <w:rPr>
          <w:rFonts w:ascii="Arial" w:hAnsi="Arial" w:cs="Arial"/>
          <w:sz w:val="20"/>
          <w:szCs w:val="20"/>
        </w:rPr>
        <w:t>community by-laws, NGO priorities, regional or national norms and laws</w:t>
      </w:r>
      <w:r w:rsidR="004E6B61">
        <w:rPr>
          <w:rFonts w:ascii="Arial" w:hAnsi="Arial" w:cs="Arial"/>
          <w:sz w:val="20"/>
          <w:szCs w:val="20"/>
        </w:rPr>
        <w:t>)</w:t>
      </w:r>
    </w:p>
    <w:p w14:paraId="5C9B6099" w14:textId="77777777" w:rsidR="00130823" w:rsidRPr="00130823" w:rsidRDefault="00130823" w:rsidP="00635D40">
      <w:pPr>
        <w:pStyle w:val="paragraph"/>
        <w:spacing w:before="0" w:beforeAutospacing="0" w:after="0" w:afterAutospacing="0" w:line="360" w:lineRule="auto"/>
        <w:ind w:right="270"/>
        <w:rPr>
          <w:rFonts w:ascii="Arial" w:hAnsi="Arial" w:cs="Arial"/>
          <w:sz w:val="20"/>
          <w:szCs w:val="20"/>
        </w:rPr>
      </w:pPr>
      <w:r w:rsidRPr="00130823">
        <w:rPr>
          <w:rFonts w:ascii="Arial" w:hAnsi="Arial" w:cs="Arial"/>
          <w:sz w:val="20"/>
          <w:szCs w:val="20"/>
        </w:rPr>
        <w:t> </w:t>
      </w:r>
    </w:p>
    <w:p w14:paraId="01A04EB9" w14:textId="7DF8B32B"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48FE8004" w14:textId="66820785"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25677300" w14:textId="0CB3A03E"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62172ACF" w14:textId="083B62FA"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6950B562" w14:textId="77777777" w:rsidR="001729F1" w:rsidRDefault="001729F1"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7629D62D" w14:textId="3E0A6446"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2FB5A8DF" w14:textId="77777777" w:rsidR="00635D40" w:rsidRDefault="00635D40"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5225D02C" w14:textId="4294E022" w:rsidR="00130823" w:rsidRDefault="00130823" w:rsidP="00635D40">
      <w:pPr>
        <w:pStyle w:val="paragraph"/>
        <w:spacing w:before="0" w:beforeAutospacing="0" w:after="0" w:afterAutospacing="0" w:line="360" w:lineRule="auto"/>
        <w:ind w:left="-360" w:right="270"/>
        <w:rPr>
          <w:rFonts w:ascii="Arial" w:hAnsi="Arial" w:cs="Arial"/>
          <w:sz w:val="20"/>
          <w:szCs w:val="20"/>
        </w:rPr>
      </w:pPr>
      <w:r w:rsidRPr="00130823">
        <w:rPr>
          <w:rFonts w:ascii="Arial" w:hAnsi="Arial" w:cs="Arial"/>
          <w:sz w:val="20"/>
          <w:szCs w:val="20"/>
          <w:lang w:val="en-GB"/>
        </w:rPr>
        <w:lastRenderedPageBreak/>
        <w:t xml:space="preserve">The RACI </w:t>
      </w:r>
      <w:r w:rsidR="00A759D2">
        <w:rPr>
          <w:rFonts w:ascii="Arial" w:hAnsi="Arial" w:cs="Arial"/>
          <w:sz w:val="20"/>
          <w:szCs w:val="20"/>
          <w:lang w:val="en-GB"/>
        </w:rPr>
        <w:t>c</w:t>
      </w:r>
      <w:r w:rsidRPr="00130823">
        <w:rPr>
          <w:rFonts w:ascii="Arial" w:hAnsi="Arial" w:cs="Arial"/>
          <w:sz w:val="20"/>
          <w:szCs w:val="20"/>
          <w:lang w:val="en-GB"/>
        </w:rPr>
        <w:t>hart organizes decision-makers and those affected by decisions into four categories: </w:t>
      </w:r>
      <w:r w:rsidRPr="00130823">
        <w:rPr>
          <w:rFonts w:ascii="Arial" w:hAnsi="Arial" w:cs="Arial"/>
          <w:sz w:val="20"/>
          <w:szCs w:val="20"/>
        </w:rPr>
        <w:t> </w:t>
      </w:r>
    </w:p>
    <w:p w14:paraId="4397BA8C" w14:textId="77777777" w:rsidR="00635D40" w:rsidRPr="00130823" w:rsidRDefault="00635D40" w:rsidP="00635D40">
      <w:pPr>
        <w:pStyle w:val="paragraph"/>
        <w:spacing w:before="0" w:beforeAutospacing="0" w:after="0" w:afterAutospacing="0" w:line="360" w:lineRule="auto"/>
        <w:ind w:left="-360" w:right="270"/>
        <w:rPr>
          <w:rFonts w:ascii="Arial" w:hAnsi="Arial" w:cs="Arial"/>
          <w:sz w:val="20"/>
          <w:szCs w:val="20"/>
        </w:rPr>
      </w:pPr>
    </w:p>
    <w:p w14:paraId="0FB01648" w14:textId="68592F89" w:rsidR="00130823" w:rsidRPr="00130823" w:rsidRDefault="00130823" w:rsidP="00635D40">
      <w:pPr>
        <w:pStyle w:val="paragraph"/>
        <w:numPr>
          <w:ilvl w:val="0"/>
          <w:numId w:val="5"/>
        </w:numPr>
        <w:spacing w:before="0" w:beforeAutospacing="0" w:after="0" w:afterAutospacing="0" w:line="360" w:lineRule="auto"/>
        <w:ind w:left="648" w:right="274"/>
        <w:rPr>
          <w:rFonts w:ascii="Arial" w:hAnsi="Arial" w:cs="Arial"/>
          <w:sz w:val="20"/>
          <w:szCs w:val="20"/>
        </w:rPr>
      </w:pPr>
      <w:r w:rsidRPr="00130823">
        <w:rPr>
          <w:rFonts w:ascii="Arial" w:hAnsi="Arial" w:cs="Arial"/>
          <w:b/>
          <w:bCs/>
          <w:sz w:val="20"/>
          <w:szCs w:val="20"/>
          <w:lang w:val="en-GB"/>
        </w:rPr>
        <w:t>Responsible</w:t>
      </w:r>
      <w:r w:rsidRPr="001868A1">
        <w:rPr>
          <w:rFonts w:ascii="Arial" w:hAnsi="Arial" w:cs="Arial"/>
          <w:b/>
          <w:sz w:val="20"/>
          <w:szCs w:val="20"/>
          <w:lang w:val="en-GB"/>
        </w:rPr>
        <w:t>:</w:t>
      </w:r>
      <w:r w:rsidRPr="00130823">
        <w:rPr>
          <w:rFonts w:ascii="Arial" w:hAnsi="Arial" w:cs="Arial"/>
          <w:sz w:val="20"/>
          <w:szCs w:val="20"/>
          <w:lang w:val="en-GB"/>
        </w:rPr>
        <w:t xml:space="preserve"> </w:t>
      </w:r>
      <w:r w:rsidR="008907ED">
        <w:rPr>
          <w:rFonts w:ascii="Arial" w:hAnsi="Arial" w:cs="Arial"/>
          <w:sz w:val="20"/>
          <w:szCs w:val="20"/>
          <w:lang w:val="en-GB"/>
        </w:rPr>
        <w:t>T</w:t>
      </w:r>
      <w:r w:rsidRPr="00130823">
        <w:rPr>
          <w:rFonts w:ascii="Arial" w:hAnsi="Arial" w:cs="Arial"/>
          <w:sz w:val="20"/>
          <w:szCs w:val="20"/>
          <w:lang w:val="en-GB"/>
        </w:rPr>
        <w:t>he primary decision-making authority on an issue</w:t>
      </w:r>
      <w:r w:rsidR="00E9124E">
        <w:rPr>
          <w:rFonts w:ascii="Arial" w:hAnsi="Arial" w:cs="Arial"/>
          <w:sz w:val="20"/>
          <w:szCs w:val="20"/>
          <w:lang w:val="en-GB"/>
        </w:rPr>
        <w:t>,</w:t>
      </w:r>
      <w:r w:rsidRPr="00130823">
        <w:rPr>
          <w:rFonts w:ascii="Arial" w:hAnsi="Arial" w:cs="Arial"/>
          <w:sz w:val="20"/>
          <w:szCs w:val="20"/>
          <w:lang w:val="en-GB"/>
        </w:rPr>
        <w:t xml:space="preserve"> often an individual</w:t>
      </w:r>
      <w:r w:rsidRPr="00130823">
        <w:rPr>
          <w:rFonts w:ascii="Arial" w:hAnsi="Arial" w:cs="Arial"/>
          <w:sz w:val="20"/>
          <w:szCs w:val="20"/>
        </w:rPr>
        <w:t> </w:t>
      </w:r>
    </w:p>
    <w:p w14:paraId="71538A04" w14:textId="431B228F" w:rsidR="00130823" w:rsidRPr="00130823" w:rsidRDefault="00130823" w:rsidP="00635D40">
      <w:pPr>
        <w:pStyle w:val="paragraph"/>
        <w:numPr>
          <w:ilvl w:val="0"/>
          <w:numId w:val="5"/>
        </w:numPr>
        <w:spacing w:before="0" w:beforeAutospacing="0" w:after="0" w:afterAutospacing="0" w:line="360" w:lineRule="auto"/>
        <w:ind w:left="648" w:right="274"/>
        <w:rPr>
          <w:rFonts w:ascii="Arial" w:hAnsi="Arial" w:cs="Arial"/>
          <w:sz w:val="20"/>
          <w:szCs w:val="20"/>
        </w:rPr>
      </w:pPr>
      <w:r w:rsidRPr="00130823">
        <w:rPr>
          <w:rFonts w:ascii="Arial" w:hAnsi="Arial" w:cs="Arial"/>
          <w:b/>
          <w:bCs/>
          <w:sz w:val="20"/>
          <w:szCs w:val="20"/>
          <w:lang w:val="en-GB"/>
        </w:rPr>
        <w:t>Accountable</w:t>
      </w:r>
      <w:r w:rsidRPr="00E9124E">
        <w:rPr>
          <w:rFonts w:ascii="Arial" w:hAnsi="Arial" w:cs="Arial"/>
          <w:b/>
          <w:bCs/>
          <w:sz w:val="20"/>
          <w:szCs w:val="20"/>
          <w:lang w:val="en-GB"/>
        </w:rPr>
        <w:t>:</w:t>
      </w:r>
      <w:r w:rsidRPr="00130823">
        <w:rPr>
          <w:rFonts w:ascii="Arial" w:hAnsi="Arial" w:cs="Arial"/>
          <w:b/>
          <w:bCs/>
          <w:sz w:val="20"/>
          <w:szCs w:val="20"/>
          <w:lang w:val="en-GB"/>
        </w:rPr>
        <w:t> </w:t>
      </w:r>
      <w:r w:rsidR="008907ED">
        <w:rPr>
          <w:rFonts w:ascii="Arial" w:hAnsi="Arial" w:cs="Arial"/>
          <w:sz w:val="20"/>
          <w:szCs w:val="20"/>
          <w:lang w:val="en-GB"/>
        </w:rPr>
        <w:t>T</w:t>
      </w:r>
      <w:r w:rsidRPr="00130823">
        <w:rPr>
          <w:rFonts w:ascii="Arial" w:hAnsi="Arial" w:cs="Arial"/>
          <w:sz w:val="20"/>
          <w:szCs w:val="20"/>
          <w:lang w:val="en-GB"/>
        </w:rPr>
        <w:t>he entity that is accountable for the decision</w:t>
      </w:r>
      <w:r w:rsidR="008243FF">
        <w:rPr>
          <w:rFonts w:ascii="Arial" w:hAnsi="Arial" w:cs="Arial"/>
          <w:sz w:val="20"/>
          <w:szCs w:val="20"/>
          <w:lang w:val="en-GB"/>
        </w:rPr>
        <w:t>,</w:t>
      </w:r>
      <w:r w:rsidRPr="00130823">
        <w:rPr>
          <w:rFonts w:ascii="Arial" w:hAnsi="Arial" w:cs="Arial"/>
          <w:sz w:val="20"/>
          <w:szCs w:val="20"/>
          <w:lang w:val="en-GB"/>
        </w:rPr>
        <w:t xml:space="preserve"> often an agency head who usually has veto power over decisions (the buck stops here!)</w:t>
      </w:r>
      <w:r w:rsidRPr="00130823">
        <w:rPr>
          <w:rFonts w:ascii="Arial" w:hAnsi="Arial" w:cs="Arial"/>
          <w:sz w:val="20"/>
          <w:szCs w:val="20"/>
        </w:rPr>
        <w:t> </w:t>
      </w:r>
    </w:p>
    <w:p w14:paraId="2CE2AEB2" w14:textId="030990A2" w:rsidR="00130823" w:rsidRPr="00130823" w:rsidRDefault="00130823" w:rsidP="00635D40">
      <w:pPr>
        <w:pStyle w:val="paragraph"/>
        <w:numPr>
          <w:ilvl w:val="0"/>
          <w:numId w:val="5"/>
        </w:numPr>
        <w:spacing w:before="0" w:beforeAutospacing="0" w:after="0" w:afterAutospacing="0" w:line="360" w:lineRule="auto"/>
        <w:ind w:left="648" w:right="274"/>
        <w:rPr>
          <w:rFonts w:ascii="Arial" w:hAnsi="Arial" w:cs="Arial"/>
          <w:sz w:val="20"/>
          <w:szCs w:val="20"/>
        </w:rPr>
      </w:pPr>
      <w:r w:rsidRPr="00130823">
        <w:rPr>
          <w:rFonts w:ascii="Arial" w:hAnsi="Arial" w:cs="Arial"/>
          <w:b/>
          <w:bCs/>
          <w:sz w:val="20"/>
          <w:szCs w:val="20"/>
          <w:lang w:val="en-GB"/>
        </w:rPr>
        <w:t>Consulted: </w:t>
      </w:r>
      <w:r w:rsidR="008907ED">
        <w:rPr>
          <w:rFonts w:ascii="Arial" w:hAnsi="Arial" w:cs="Arial"/>
          <w:sz w:val="20"/>
          <w:szCs w:val="20"/>
          <w:lang w:val="en-GB"/>
        </w:rPr>
        <w:t>T</w:t>
      </w:r>
      <w:r w:rsidRPr="00130823">
        <w:rPr>
          <w:rFonts w:ascii="Arial" w:hAnsi="Arial" w:cs="Arial"/>
          <w:sz w:val="20"/>
          <w:szCs w:val="20"/>
          <w:lang w:val="en-GB"/>
        </w:rPr>
        <w:t>hose with relevant information or expertise about an issue that must be consulted before a decision is made </w:t>
      </w:r>
      <w:r w:rsidRPr="00130823">
        <w:rPr>
          <w:rFonts w:ascii="Arial" w:hAnsi="Arial" w:cs="Arial"/>
          <w:sz w:val="20"/>
          <w:szCs w:val="20"/>
        </w:rPr>
        <w:t> </w:t>
      </w:r>
    </w:p>
    <w:p w14:paraId="3D2D1C70" w14:textId="20FE51AC" w:rsidR="00130823" w:rsidRDefault="00130823" w:rsidP="00635D40">
      <w:pPr>
        <w:pStyle w:val="paragraph"/>
        <w:numPr>
          <w:ilvl w:val="0"/>
          <w:numId w:val="5"/>
        </w:numPr>
        <w:spacing w:before="0" w:beforeAutospacing="0" w:after="0" w:afterAutospacing="0" w:line="360" w:lineRule="auto"/>
        <w:ind w:left="648" w:right="274"/>
        <w:rPr>
          <w:rFonts w:ascii="Arial" w:hAnsi="Arial" w:cs="Arial"/>
          <w:sz w:val="20"/>
          <w:szCs w:val="20"/>
        </w:rPr>
      </w:pPr>
      <w:r w:rsidRPr="00130823">
        <w:rPr>
          <w:rFonts w:ascii="Arial" w:hAnsi="Arial" w:cs="Arial"/>
          <w:b/>
          <w:bCs/>
          <w:sz w:val="20"/>
          <w:szCs w:val="20"/>
          <w:lang w:val="en-GB"/>
        </w:rPr>
        <w:t>Informed:</w:t>
      </w:r>
      <w:r w:rsidRPr="00130823">
        <w:rPr>
          <w:rFonts w:ascii="Arial" w:hAnsi="Arial" w:cs="Arial"/>
          <w:sz w:val="20"/>
          <w:szCs w:val="20"/>
          <w:lang w:val="en-GB"/>
        </w:rPr>
        <w:t> </w:t>
      </w:r>
      <w:r w:rsidR="008907ED">
        <w:rPr>
          <w:rFonts w:ascii="Arial" w:hAnsi="Arial" w:cs="Arial"/>
          <w:sz w:val="20"/>
          <w:szCs w:val="20"/>
          <w:lang w:val="en-GB"/>
        </w:rPr>
        <w:t>T</w:t>
      </w:r>
      <w:r w:rsidRPr="00130823">
        <w:rPr>
          <w:rFonts w:ascii="Arial" w:hAnsi="Arial" w:cs="Arial"/>
          <w:sz w:val="20"/>
          <w:szCs w:val="20"/>
          <w:lang w:val="en-GB"/>
        </w:rPr>
        <w:t>hose who are impacted by the decision and must be informed of changes in policy but do not have authority in the decision-making process</w:t>
      </w:r>
      <w:r w:rsidRPr="00130823">
        <w:rPr>
          <w:rFonts w:ascii="Arial" w:hAnsi="Arial" w:cs="Arial"/>
          <w:sz w:val="20"/>
          <w:szCs w:val="20"/>
        </w:rPr>
        <w:t> </w:t>
      </w:r>
    </w:p>
    <w:p w14:paraId="5A92F938" w14:textId="77777777" w:rsidR="00635D40" w:rsidRPr="00130823" w:rsidRDefault="00635D40" w:rsidP="00635D40">
      <w:pPr>
        <w:pStyle w:val="paragraph"/>
        <w:spacing w:before="0" w:beforeAutospacing="0" w:after="0" w:afterAutospacing="0" w:line="360" w:lineRule="auto"/>
        <w:ind w:left="288" w:right="274"/>
        <w:rPr>
          <w:rFonts w:ascii="Arial" w:hAnsi="Arial" w:cs="Arial"/>
          <w:sz w:val="20"/>
          <w:szCs w:val="20"/>
        </w:rPr>
      </w:pPr>
    </w:p>
    <w:p w14:paraId="13D7306D" w14:textId="76932298" w:rsidR="00130823" w:rsidRDefault="00130823" w:rsidP="00635D40">
      <w:pPr>
        <w:pStyle w:val="paragraph"/>
        <w:spacing w:before="0" w:beforeAutospacing="0" w:after="0" w:afterAutospacing="0" w:line="360" w:lineRule="auto"/>
        <w:ind w:left="-360" w:right="270"/>
        <w:rPr>
          <w:rFonts w:ascii="Arial" w:hAnsi="Arial" w:cs="Arial"/>
          <w:sz w:val="20"/>
          <w:szCs w:val="20"/>
        </w:rPr>
      </w:pPr>
      <w:r w:rsidRPr="00130823">
        <w:rPr>
          <w:rFonts w:ascii="Arial" w:hAnsi="Arial" w:cs="Arial"/>
          <w:sz w:val="20"/>
          <w:szCs w:val="20"/>
          <w:lang w:val="en-GB"/>
        </w:rPr>
        <w:t>List the various decision types in the first column and begin discussing the decision-making roles of each stakeholder. In the appropriate columns, list the individual(s), group(s), or institution(s) that perform that role. After completion, distribute the chart to all relevant stakeholders to ensure transparency and build trust in the decision process. </w:t>
      </w:r>
      <w:r w:rsidRPr="00130823">
        <w:rPr>
          <w:rFonts w:ascii="Arial" w:hAnsi="Arial" w:cs="Arial"/>
          <w:sz w:val="20"/>
          <w:szCs w:val="20"/>
        </w:rPr>
        <w:t> </w:t>
      </w:r>
    </w:p>
    <w:p w14:paraId="05A31297" w14:textId="5C0CD796" w:rsidR="003D55E6" w:rsidRDefault="003D55E6" w:rsidP="00635D40">
      <w:pPr>
        <w:pStyle w:val="paragraph"/>
        <w:spacing w:before="0" w:beforeAutospacing="0" w:after="0" w:afterAutospacing="0" w:line="360" w:lineRule="auto"/>
        <w:ind w:left="-360" w:right="270"/>
        <w:rPr>
          <w:rFonts w:ascii="Arial" w:hAnsi="Arial" w:cs="Arial"/>
          <w:sz w:val="20"/>
          <w:szCs w:val="20"/>
        </w:rPr>
      </w:pPr>
    </w:p>
    <w:p w14:paraId="73B78030" w14:textId="1F845FF2" w:rsidR="003D55E6" w:rsidRDefault="00725DE9" w:rsidP="00635D40">
      <w:pPr>
        <w:pStyle w:val="paragraph"/>
        <w:spacing w:before="0" w:beforeAutospacing="0" w:after="0" w:afterAutospacing="0" w:line="360" w:lineRule="auto"/>
        <w:ind w:left="-360" w:right="270"/>
        <w:rPr>
          <w:rFonts w:ascii="Arial" w:hAnsi="Arial" w:cs="Arial"/>
          <w:sz w:val="20"/>
          <w:szCs w:val="20"/>
        </w:rPr>
      </w:pPr>
      <w:r>
        <w:rPr>
          <w:rFonts w:ascii="Arial" w:hAnsi="Arial" w:cs="Arial"/>
          <w:sz w:val="20"/>
          <w:szCs w:val="20"/>
        </w:rPr>
        <w:t>While you’re c</w:t>
      </w:r>
      <w:r w:rsidR="005130E5" w:rsidRPr="00D83F6A">
        <w:rPr>
          <w:rFonts w:ascii="Arial" w:hAnsi="Arial" w:cs="Arial"/>
          <w:sz w:val="20"/>
          <w:szCs w:val="20"/>
        </w:rPr>
        <w:t>ompleting a RACI chart</w:t>
      </w:r>
      <w:r>
        <w:rPr>
          <w:rFonts w:ascii="Arial" w:hAnsi="Arial" w:cs="Arial"/>
          <w:sz w:val="20"/>
          <w:szCs w:val="20"/>
        </w:rPr>
        <w:t>,</w:t>
      </w:r>
      <w:r w:rsidR="005130E5" w:rsidRPr="00D83F6A">
        <w:rPr>
          <w:rFonts w:ascii="Arial" w:hAnsi="Arial" w:cs="Arial"/>
          <w:sz w:val="20"/>
          <w:szCs w:val="20"/>
        </w:rPr>
        <w:t xml:space="preserve"> consider </w:t>
      </w:r>
      <w:r w:rsidR="00E57D96" w:rsidRPr="00D83F6A">
        <w:rPr>
          <w:rFonts w:ascii="Arial" w:hAnsi="Arial" w:cs="Arial"/>
          <w:sz w:val="20"/>
          <w:szCs w:val="20"/>
        </w:rPr>
        <w:t>t</w:t>
      </w:r>
      <w:r w:rsidR="00F10608" w:rsidRPr="00D83F6A">
        <w:rPr>
          <w:rFonts w:ascii="Arial" w:hAnsi="Arial" w:cs="Arial"/>
          <w:sz w:val="20"/>
          <w:szCs w:val="20"/>
        </w:rPr>
        <w:t xml:space="preserve">he ethical implications of </w:t>
      </w:r>
      <w:r w:rsidR="00266319" w:rsidRPr="00D83F6A">
        <w:rPr>
          <w:rFonts w:ascii="Arial" w:hAnsi="Arial" w:cs="Arial"/>
          <w:sz w:val="20"/>
          <w:szCs w:val="20"/>
        </w:rPr>
        <w:t xml:space="preserve">consent to </w:t>
      </w:r>
      <w:r w:rsidR="00F10608" w:rsidRPr="00D83F6A">
        <w:rPr>
          <w:rFonts w:ascii="Arial" w:hAnsi="Arial" w:cs="Arial"/>
          <w:sz w:val="20"/>
          <w:szCs w:val="20"/>
        </w:rPr>
        <w:t>community programming</w:t>
      </w:r>
      <w:r w:rsidR="00F14CBC" w:rsidRPr="00D83F6A">
        <w:rPr>
          <w:rFonts w:ascii="Arial" w:hAnsi="Arial" w:cs="Arial"/>
          <w:sz w:val="20"/>
          <w:szCs w:val="20"/>
        </w:rPr>
        <w:t xml:space="preserve">. For instance, although </w:t>
      </w:r>
      <w:r w:rsidR="00E04402" w:rsidRPr="00D83F6A">
        <w:rPr>
          <w:rFonts w:ascii="Arial" w:hAnsi="Arial" w:cs="Arial"/>
          <w:sz w:val="20"/>
          <w:szCs w:val="20"/>
        </w:rPr>
        <w:t>community members may fall into the “informed” category</w:t>
      </w:r>
      <w:r w:rsidR="009B7A65" w:rsidRPr="00D83F6A">
        <w:rPr>
          <w:rFonts w:ascii="Arial" w:hAnsi="Arial" w:cs="Arial"/>
          <w:sz w:val="20"/>
          <w:szCs w:val="20"/>
        </w:rPr>
        <w:t xml:space="preserve"> </w:t>
      </w:r>
      <w:r w:rsidR="008D5854" w:rsidRPr="00D83F6A">
        <w:rPr>
          <w:rFonts w:ascii="Arial" w:hAnsi="Arial" w:cs="Arial"/>
          <w:sz w:val="20"/>
          <w:szCs w:val="20"/>
        </w:rPr>
        <w:t xml:space="preserve">before </w:t>
      </w:r>
      <w:r w:rsidR="009B7A65" w:rsidRPr="00D83F6A">
        <w:rPr>
          <w:rFonts w:ascii="Arial" w:hAnsi="Arial" w:cs="Arial"/>
          <w:sz w:val="20"/>
          <w:szCs w:val="20"/>
        </w:rPr>
        <w:t xml:space="preserve">program </w:t>
      </w:r>
      <w:r w:rsidR="008D5854" w:rsidRPr="00D83F6A">
        <w:rPr>
          <w:rFonts w:ascii="Arial" w:hAnsi="Arial" w:cs="Arial"/>
          <w:sz w:val="20"/>
          <w:szCs w:val="20"/>
        </w:rPr>
        <w:t>implementation</w:t>
      </w:r>
      <w:r w:rsidR="00F14CBC" w:rsidRPr="00D83F6A">
        <w:rPr>
          <w:rFonts w:ascii="Arial" w:hAnsi="Arial" w:cs="Arial"/>
          <w:sz w:val="20"/>
          <w:szCs w:val="20"/>
        </w:rPr>
        <w:t>, it is</w:t>
      </w:r>
      <w:r w:rsidR="008D5854" w:rsidRPr="00D83F6A">
        <w:rPr>
          <w:rFonts w:ascii="Arial" w:hAnsi="Arial" w:cs="Arial"/>
          <w:sz w:val="20"/>
          <w:szCs w:val="20"/>
        </w:rPr>
        <w:t xml:space="preserve"> often good practice to </w:t>
      </w:r>
      <w:r w:rsidR="00A87B05" w:rsidRPr="00D83F6A">
        <w:rPr>
          <w:rFonts w:ascii="Arial" w:hAnsi="Arial" w:cs="Arial"/>
          <w:sz w:val="20"/>
          <w:szCs w:val="20"/>
        </w:rPr>
        <w:t xml:space="preserve">give community members more </w:t>
      </w:r>
      <w:r w:rsidR="0070521C" w:rsidRPr="00D83F6A">
        <w:rPr>
          <w:rFonts w:ascii="Arial" w:hAnsi="Arial" w:cs="Arial"/>
          <w:sz w:val="20"/>
          <w:szCs w:val="20"/>
        </w:rPr>
        <w:t>decision-making power</w:t>
      </w:r>
      <w:r w:rsidR="009B7A65" w:rsidRPr="00D83F6A">
        <w:rPr>
          <w:rFonts w:ascii="Arial" w:hAnsi="Arial" w:cs="Arial"/>
          <w:sz w:val="20"/>
          <w:szCs w:val="20"/>
        </w:rPr>
        <w:t xml:space="preserve"> than is legally mandated. </w:t>
      </w:r>
      <w:r w:rsidR="002B4727" w:rsidRPr="00D83F6A">
        <w:rPr>
          <w:rFonts w:ascii="Arial" w:hAnsi="Arial" w:cs="Arial"/>
          <w:sz w:val="20"/>
          <w:szCs w:val="20"/>
        </w:rPr>
        <w:t xml:space="preserve">If community members are actively impacted by decisions and programs, </w:t>
      </w:r>
      <w:r w:rsidR="002C3717" w:rsidRPr="00D83F6A">
        <w:rPr>
          <w:rFonts w:ascii="Arial" w:hAnsi="Arial" w:cs="Arial"/>
          <w:sz w:val="20"/>
          <w:szCs w:val="20"/>
        </w:rPr>
        <w:t xml:space="preserve">NGOs should employ a </w:t>
      </w:r>
      <w:r w:rsidR="00487E62">
        <w:rPr>
          <w:rFonts w:ascii="Arial" w:hAnsi="Arial" w:cs="Arial"/>
          <w:sz w:val="20"/>
          <w:szCs w:val="20"/>
        </w:rPr>
        <w:t>F</w:t>
      </w:r>
      <w:r w:rsidR="002C3717" w:rsidRPr="00487E62">
        <w:rPr>
          <w:rFonts w:ascii="Arial" w:hAnsi="Arial" w:cs="Arial"/>
          <w:sz w:val="20"/>
          <w:szCs w:val="20"/>
        </w:rPr>
        <w:t xml:space="preserve">ree, </w:t>
      </w:r>
      <w:r w:rsidR="00487E62">
        <w:rPr>
          <w:rFonts w:ascii="Arial" w:hAnsi="Arial" w:cs="Arial"/>
          <w:sz w:val="20"/>
          <w:szCs w:val="20"/>
        </w:rPr>
        <w:t>P</w:t>
      </w:r>
      <w:r w:rsidR="002C3717" w:rsidRPr="00487E62">
        <w:rPr>
          <w:rFonts w:ascii="Arial" w:hAnsi="Arial" w:cs="Arial"/>
          <w:sz w:val="20"/>
          <w:szCs w:val="20"/>
        </w:rPr>
        <w:t xml:space="preserve">rior, and </w:t>
      </w:r>
      <w:r w:rsidR="00487E62">
        <w:rPr>
          <w:rFonts w:ascii="Arial" w:hAnsi="Arial" w:cs="Arial"/>
          <w:sz w:val="20"/>
          <w:szCs w:val="20"/>
        </w:rPr>
        <w:t>I</w:t>
      </w:r>
      <w:r w:rsidR="002C3717" w:rsidRPr="00487E62">
        <w:rPr>
          <w:rFonts w:ascii="Arial" w:hAnsi="Arial" w:cs="Arial"/>
          <w:sz w:val="20"/>
          <w:szCs w:val="20"/>
        </w:rPr>
        <w:t xml:space="preserve">nformed </w:t>
      </w:r>
      <w:r w:rsidR="00487E62">
        <w:rPr>
          <w:rFonts w:ascii="Arial" w:hAnsi="Arial" w:cs="Arial"/>
          <w:sz w:val="20"/>
          <w:szCs w:val="20"/>
        </w:rPr>
        <w:t>C</w:t>
      </w:r>
      <w:r w:rsidR="002C3717" w:rsidRPr="00487E62">
        <w:rPr>
          <w:rFonts w:ascii="Arial" w:hAnsi="Arial" w:cs="Arial"/>
          <w:sz w:val="20"/>
          <w:szCs w:val="20"/>
        </w:rPr>
        <w:t>onsent policy</w:t>
      </w:r>
      <w:r w:rsidR="00E15F87" w:rsidRPr="00D83F6A">
        <w:rPr>
          <w:rFonts w:ascii="Arial" w:hAnsi="Arial" w:cs="Arial"/>
          <w:sz w:val="20"/>
          <w:szCs w:val="20"/>
        </w:rPr>
        <w:t>, rather than simply informing.</w:t>
      </w:r>
      <w:r w:rsidR="00E15F87">
        <w:rPr>
          <w:rFonts w:ascii="Arial" w:hAnsi="Arial" w:cs="Arial"/>
          <w:sz w:val="20"/>
          <w:szCs w:val="20"/>
        </w:rPr>
        <w:t xml:space="preserve"> </w:t>
      </w:r>
    </w:p>
    <w:p w14:paraId="03F9CD0C" w14:textId="77777777" w:rsidR="00635D40" w:rsidRPr="00130823" w:rsidRDefault="00635D40" w:rsidP="00635D40">
      <w:pPr>
        <w:pStyle w:val="paragraph"/>
        <w:spacing w:before="0" w:beforeAutospacing="0" w:after="0" w:afterAutospacing="0" w:line="360" w:lineRule="auto"/>
        <w:ind w:left="-360" w:right="270"/>
        <w:rPr>
          <w:rFonts w:ascii="Arial" w:hAnsi="Arial" w:cs="Arial"/>
          <w:sz w:val="20"/>
          <w:szCs w:val="20"/>
        </w:rPr>
      </w:pPr>
    </w:p>
    <w:p w14:paraId="41698776" w14:textId="1B9B34C0" w:rsidR="00130823" w:rsidRDefault="00130823" w:rsidP="00635D40">
      <w:pPr>
        <w:pStyle w:val="paragraph"/>
        <w:spacing w:before="0" w:beforeAutospacing="0" w:after="0" w:afterAutospacing="0" w:line="360" w:lineRule="auto"/>
        <w:ind w:left="-360" w:right="270"/>
        <w:rPr>
          <w:rFonts w:ascii="Arial" w:hAnsi="Arial" w:cs="Arial"/>
          <w:sz w:val="20"/>
          <w:szCs w:val="20"/>
        </w:rPr>
      </w:pPr>
      <w:r w:rsidRPr="00130823">
        <w:rPr>
          <w:rFonts w:ascii="Arial" w:hAnsi="Arial" w:cs="Arial"/>
          <w:sz w:val="20"/>
          <w:szCs w:val="20"/>
          <w:lang w:val="en-GB"/>
        </w:rPr>
        <w:t>This tool may also lead to a realization that decision processes must change for programs to run efficiently. In these cases, the NGO and community leadership may create an ideal</w:t>
      </w:r>
      <w:r w:rsidR="00737317">
        <w:rPr>
          <w:rFonts w:ascii="Arial" w:hAnsi="Arial" w:cs="Arial"/>
          <w:sz w:val="20"/>
          <w:szCs w:val="20"/>
          <w:lang w:val="en-GB"/>
        </w:rPr>
        <w:t>-</w:t>
      </w:r>
      <w:r w:rsidRPr="00130823">
        <w:rPr>
          <w:rFonts w:ascii="Arial" w:hAnsi="Arial" w:cs="Arial"/>
          <w:sz w:val="20"/>
          <w:szCs w:val="20"/>
          <w:lang w:val="en-GB"/>
        </w:rPr>
        <w:t>scenario RACI chart</w:t>
      </w:r>
      <w:r w:rsidR="00D07031">
        <w:rPr>
          <w:rFonts w:ascii="Arial" w:hAnsi="Arial" w:cs="Arial"/>
          <w:sz w:val="20"/>
          <w:szCs w:val="20"/>
          <w:lang w:val="en-GB"/>
        </w:rPr>
        <w:t>,</w:t>
      </w:r>
      <w:r w:rsidRPr="00130823">
        <w:rPr>
          <w:rFonts w:ascii="Arial" w:hAnsi="Arial" w:cs="Arial"/>
          <w:sz w:val="20"/>
          <w:szCs w:val="20"/>
          <w:lang w:val="en-GB"/>
        </w:rPr>
        <w:t xml:space="preserve"> which outlines the areas where decision-making authority must change. Having these changes presented visually in the form of a RACI chart can help all stakeholders understand the proposed changes and facilitate discussion around those changes. </w:t>
      </w:r>
      <w:r w:rsidRPr="00130823">
        <w:rPr>
          <w:rFonts w:ascii="Arial" w:hAnsi="Arial" w:cs="Arial"/>
          <w:sz w:val="20"/>
          <w:szCs w:val="20"/>
        </w:rPr>
        <w:t> </w:t>
      </w:r>
    </w:p>
    <w:p w14:paraId="122DF94B" w14:textId="77777777" w:rsidR="00635D40" w:rsidRDefault="00635D40" w:rsidP="00635D40">
      <w:pPr>
        <w:pStyle w:val="paragraph"/>
        <w:spacing w:before="0" w:beforeAutospacing="0" w:after="0" w:afterAutospacing="0" w:line="360" w:lineRule="auto"/>
        <w:ind w:left="-360" w:right="270"/>
        <w:rPr>
          <w:rFonts w:ascii="Arial" w:hAnsi="Arial" w:cs="Arial"/>
          <w:sz w:val="20"/>
          <w:szCs w:val="20"/>
        </w:rPr>
      </w:pPr>
    </w:p>
    <w:p w14:paraId="341E978B" w14:textId="77777777" w:rsidR="000E79B4" w:rsidRDefault="000E79B4" w:rsidP="00635D40">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787B7AB0" w14:textId="46CB9E52" w:rsidR="000E79B4" w:rsidRDefault="000E79B4" w:rsidP="00635D40">
      <w:pPr>
        <w:pStyle w:val="paragraph"/>
        <w:spacing w:before="0" w:beforeAutospacing="0" w:after="0" w:afterAutospacing="0" w:line="360" w:lineRule="auto"/>
        <w:ind w:left="-360" w:right="270"/>
        <w:rPr>
          <w:rFonts w:ascii="Arial" w:hAnsi="Arial" w:cs="Arial"/>
          <w:sz w:val="20"/>
          <w:szCs w:val="20"/>
        </w:rPr>
      </w:pPr>
    </w:p>
    <w:p w14:paraId="0C859219" w14:textId="7B42888B" w:rsidR="000E79B4" w:rsidRDefault="000E79B4" w:rsidP="00635D40">
      <w:pPr>
        <w:pStyle w:val="paragraph"/>
        <w:spacing w:before="0" w:beforeAutospacing="0" w:after="0" w:afterAutospacing="0" w:line="360" w:lineRule="auto"/>
        <w:ind w:left="-360" w:right="270"/>
        <w:rPr>
          <w:rFonts w:ascii="Arial" w:hAnsi="Arial" w:cs="Arial"/>
          <w:sz w:val="20"/>
          <w:szCs w:val="20"/>
        </w:rPr>
      </w:pPr>
    </w:p>
    <w:p w14:paraId="427D36EE" w14:textId="58B11ACE" w:rsidR="000E79B4" w:rsidRDefault="000E79B4" w:rsidP="00635D40">
      <w:pPr>
        <w:pStyle w:val="paragraph"/>
        <w:spacing w:before="0" w:beforeAutospacing="0" w:after="0" w:afterAutospacing="0" w:line="360" w:lineRule="auto"/>
        <w:ind w:left="-360" w:right="270"/>
        <w:rPr>
          <w:rFonts w:ascii="Arial" w:hAnsi="Arial" w:cs="Arial"/>
          <w:sz w:val="20"/>
          <w:szCs w:val="20"/>
        </w:rPr>
      </w:pPr>
    </w:p>
    <w:p w14:paraId="0C16BAD5" w14:textId="77777777" w:rsidR="000E79B4" w:rsidRPr="00130823" w:rsidRDefault="000E79B4" w:rsidP="00D83F6A">
      <w:pPr>
        <w:pStyle w:val="paragraph"/>
        <w:spacing w:before="0" w:beforeAutospacing="0" w:after="0" w:afterAutospacing="0" w:line="360" w:lineRule="auto"/>
        <w:ind w:right="270"/>
        <w:rPr>
          <w:rFonts w:ascii="Arial" w:hAnsi="Arial" w:cs="Arial"/>
          <w:sz w:val="20"/>
          <w:szCs w:val="20"/>
        </w:rPr>
      </w:pPr>
    </w:p>
    <w:p w14:paraId="66614F5C" w14:textId="2AC39480" w:rsidR="001D3C84" w:rsidRDefault="001D3C84" w:rsidP="001D3C84">
      <w:pPr>
        <w:rPr>
          <w:rFonts w:ascii="Arial" w:hAnsi="Arial" w:cs="Arial"/>
          <w:sz w:val="20"/>
          <w:szCs w:val="20"/>
        </w:rPr>
      </w:pPr>
    </w:p>
    <w:p w14:paraId="2C24BE67" w14:textId="18A94F56" w:rsidR="001D3C84" w:rsidRDefault="001D3C84" w:rsidP="001D3C84">
      <w:pPr>
        <w:rPr>
          <w:rFonts w:ascii="Arial" w:hAnsi="Arial" w:cs="Arial"/>
          <w:sz w:val="20"/>
          <w:szCs w:val="20"/>
        </w:rPr>
      </w:pPr>
    </w:p>
    <w:tbl>
      <w:tblPr>
        <w:tblStyle w:val="TableGrid"/>
        <w:tblW w:w="9211" w:type="dxa"/>
        <w:tblInd w:w="-185" w:type="dxa"/>
        <w:tblLayout w:type="fixed"/>
        <w:tblCellMar>
          <w:top w:w="144" w:type="dxa"/>
          <w:left w:w="144" w:type="dxa"/>
          <w:bottom w:w="144" w:type="dxa"/>
          <w:right w:w="144" w:type="dxa"/>
        </w:tblCellMar>
        <w:tblLook w:val="06A0" w:firstRow="1" w:lastRow="0" w:firstColumn="1" w:lastColumn="0" w:noHBand="1" w:noVBand="1"/>
      </w:tblPr>
      <w:tblGrid>
        <w:gridCol w:w="1710"/>
        <w:gridCol w:w="1500"/>
        <w:gridCol w:w="1500"/>
        <w:gridCol w:w="1500"/>
        <w:gridCol w:w="1500"/>
        <w:gridCol w:w="1501"/>
      </w:tblGrid>
      <w:tr w:rsidR="001D3C84" w:rsidRPr="001D3C84" w14:paraId="3A5BE464" w14:textId="77777777" w:rsidTr="001D3C84">
        <w:tc>
          <w:tcPr>
            <w:tcW w:w="1710" w:type="dxa"/>
            <w:shd w:val="clear" w:color="auto" w:fill="000000" w:themeFill="text1"/>
          </w:tcPr>
          <w:p w14:paraId="04BE4D55" w14:textId="77777777" w:rsidR="001D3C84" w:rsidRPr="001D3C84" w:rsidRDefault="001D3C84" w:rsidP="003024FB">
            <w:pPr>
              <w:spacing w:line="259" w:lineRule="auto"/>
              <w:jc w:val="center"/>
              <w:rPr>
                <w:rFonts w:ascii="Arial" w:hAnsi="Arial" w:cs="Arial"/>
                <w:b/>
                <w:sz w:val="20"/>
                <w:szCs w:val="20"/>
              </w:rPr>
            </w:pPr>
            <w:r w:rsidRPr="001D3C84">
              <w:rPr>
                <w:rFonts w:ascii="Arial" w:eastAsiaTheme="majorEastAsia" w:hAnsi="Arial" w:cs="Arial"/>
                <w:b/>
                <w:bCs/>
                <w:sz w:val="20"/>
                <w:szCs w:val="20"/>
              </w:rPr>
              <w:t>Task</w:t>
            </w:r>
          </w:p>
        </w:tc>
        <w:tc>
          <w:tcPr>
            <w:tcW w:w="1500" w:type="dxa"/>
            <w:shd w:val="clear" w:color="auto" w:fill="000000" w:themeFill="text1"/>
          </w:tcPr>
          <w:p w14:paraId="13A95607" w14:textId="77777777" w:rsidR="001D3C84" w:rsidRPr="001D3C84" w:rsidRDefault="001D3C84" w:rsidP="003024FB">
            <w:pPr>
              <w:spacing w:line="259" w:lineRule="auto"/>
              <w:jc w:val="center"/>
              <w:rPr>
                <w:rFonts w:ascii="Arial" w:eastAsiaTheme="majorEastAsia" w:hAnsi="Arial" w:cs="Arial"/>
                <w:b/>
                <w:bCs/>
                <w:sz w:val="20"/>
                <w:szCs w:val="20"/>
              </w:rPr>
            </w:pPr>
            <w:r w:rsidRPr="001D3C84">
              <w:rPr>
                <w:rFonts w:ascii="Arial" w:eastAsiaTheme="majorEastAsia" w:hAnsi="Arial" w:cs="Arial"/>
                <w:b/>
                <w:bCs/>
                <w:sz w:val="20"/>
                <w:szCs w:val="20"/>
              </w:rPr>
              <w:t>Completion Date</w:t>
            </w:r>
          </w:p>
        </w:tc>
        <w:tc>
          <w:tcPr>
            <w:tcW w:w="1500" w:type="dxa"/>
            <w:shd w:val="clear" w:color="auto" w:fill="000000" w:themeFill="text1"/>
          </w:tcPr>
          <w:p w14:paraId="6255FB18" w14:textId="77777777" w:rsidR="001D3C84" w:rsidRPr="001D3C84" w:rsidRDefault="001D3C84" w:rsidP="003024FB">
            <w:pPr>
              <w:jc w:val="center"/>
              <w:rPr>
                <w:rFonts w:ascii="Arial" w:eastAsiaTheme="majorEastAsia" w:hAnsi="Arial" w:cs="Arial"/>
                <w:b/>
                <w:bCs/>
                <w:sz w:val="20"/>
                <w:szCs w:val="20"/>
              </w:rPr>
            </w:pPr>
            <w:r w:rsidRPr="001D3C84">
              <w:rPr>
                <w:rFonts w:ascii="Arial" w:eastAsiaTheme="majorEastAsia" w:hAnsi="Arial" w:cs="Arial"/>
                <w:b/>
                <w:bCs/>
                <w:sz w:val="20"/>
                <w:szCs w:val="20"/>
              </w:rPr>
              <w:t>Responsible</w:t>
            </w:r>
          </w:p>
        </w:tc>
        <w:tc>
          <w:tcPr>
            <w:tcW w:w="1500" w:type="dxa"/>
            <w:shd w:val="clear" w:color="auto" w:fill="000000" w:themeFill="text1"/>
          </w:tcPr>
          <w:p w14:paraId="178EBC89" w14:textId="77777777" w:rsidR="001D3C84" w:rsidRPr="001D3C84" w:rsidRDefault="001D3C84" w:rsidP="003024FB">
            <w:pPr>
              <w:jc w:val="center"/>
              <w:rPr>
                <w:rFonts w:ascii="Arial" w:eastAsiaTheme="majorEastAsia" w:hAnsi="Arial" w:cs="Arial"/>
                <w:b/>
                <w:bCs/>
                <w:sz w:val="20"/>
                <w:szCs w:val="20"/>
              </w:rPr>
            </w:pPr>
            <w:r w:rsidRPr="001D3C84">
              <w:rPr>
                <w:rFonts w:ascii="Arial" w:eastAsiaTheme="majorEastAsia" w:hAnsi="Arial" w:cs="Arial"/>
                <w:b/>
                <w:bCs/>
                <w:sz w:val="20"/>
                <w:szCs w:val="20"/>
              </w:rPr>
              <w:t>Accountable</w:t>
            </w:r>
          </w:p>
        </w:tc>
        <w:tc>
          <w:tcPr>
            <w:tcW w:w="1500" w:type="dxa"/>
            <w:shd w:val="clear" w:color="auto" w:fill="000000" w:themeFill="text1"/>
          </w:tcPr>
          <w:p w14:paraId="59E38E10" w14:textId="77777777" w:rsidR="001D3C84" w:rsidRPr="001D3C84" w:rsidRDefault="001D3C84" w:rsidP="003024FB">
            <w:pPr>
              <w:jc w:val="center"/>
              <w:rPr>
                <w:rFonts w:ascii="Arial" w:eastAsiaTheme="majorEastAsia" w:hAnsi="Arial" w:cs="Arial"/>
                <w:b/>
                <w:bCs/>
                <w:sz w:val="20"/>
                <w:szCs w:val="20"/>
              </w:rPr>
            </w:pPr>
            <w:r w:rsidRPr="001D3C84">
              <w:rPr>
                <w:rFonts w:ascii="Arial" w:eastAsiaTheme="majorEastAsia" w:hAnsi="Arial" w:cs="Arial"/>
                <w:b/>
                <w:bCs/>
                <w:sz w:val="20"/>
                <w:szCs w:val="20"/>
              </w:rPr>
              <w:t xml:space="preserve">Consulted </w:t>
            </w:r>
          </w:p>
        </w:tc>
        <w:tc>
          <w:tcPr>
            <w:tcW w:w="1501" w:type="dxa"/>
            <w:shd w:val="clear" w:color="auto" w:fill="000000" w:themeFill="text1"/>
          </w:tcPr>
          <w:p w14:paraId="09CDE1CB" w14:textId="77777777" w:rsidR="001D3C84" w:rsidRPr="001D3C84" w:rsidRDefault="001D3C84" w:rsidP="003024FB">
            <w:pPr>
              <w:jc w:val="center"/>
              <w:rPr>
                <w:rFonts w:ascii="Arial" w:eastAsiaTheme="majorEastAsia" w:hAnsi="Arial" w:cs="Arial"/>
                <w:b/>
                <w:bCs/>
                <w:sz w:val="20"/>
                <w:szCs w:val="20"/>
              </w:rPr>
            </w:pPr>
            <w:r w:rsidRPr="001D3C84">
              <w:rPr>
                <w:rFonts w:ascii="Arial" w:eastAsiaTheme="majorEastAsia" w:hAnsi="Arial" w:cs="Arial"/>
                <w:b/>
                <w:bCs/>
                <w:sz w:val="20"/>
                <w:szCs w:val="20"/>
              </w:rPr>
              <w:t>Informed</w:t>
            </w:r>
          </w:p>
        </w:tc>
      </w:tr>
      <w:tr w:rsidR="001D3C84" w:rsidRPr="001D3C84" w14:paraId="0ACBBA0D" w14:textId="77777777" w:rsidTr="001D3C84">
        <w:tc>
          <w:tcPr>
            <w:tcW w:w="1710" w:type="dxa"/>
            <w:shd w:val="clear" w:color="auto" w:fill="F2F2F2" w:themeFill="background1" w:themeFillShade="F2"/>
          </w:tcPr>
          <w:p w14:paraId="72559A4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1</w:t>
            </w:r>
          </w:p>
          <w:p w14:paraId="590CA0B5"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547E36F7"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090F7B33"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31F6025C"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45C54B0E"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shd w:val="clear" w:color="auto" w:fill="F2F2F2" w:themeFill="background1" w:themeFillShade="F2"/>
          </w:tcPr>
          <w:p w14:paraId="3CDD2470"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6127A7D3" w14:textId="77777777" w:rsidTr="001D3C84">
        <w:tc>
          <w:tcPr>
            <w:tcW w:w="1710" w:type="dxa"/>
          </w:tcPr>
          <w:p w14:paraId="44AD44A3"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2</w:t>
            </w:r>
          </w:p>
          <w:p w14:paraId="462EF8BB" w14:textId="77777777" w:rsidR="001D3C84" w:rsidRPr="001D3C84" w:rsidRDefault="001D3C84" w:rsidP="003024FB">
            <w:pPr>
              <w:rPr>
                <w:rFonts w:ascii="Arial" w:eastAsiaTheme="majorEastAsia" w:hAnsi="Arial" w:cs="Arial"/>
                <w:bCs/>
                <w:sz w:val="20"/>
                <w:szCs w:val="20"/>
              </w:rPr>
            </w:pPr>
          </w:p>
        </w:tc>
        <w:tc>
          <w:tcPr>
            <w:tcW w:w="1500" w:type="dxa"/>
          </w:tcPr>
          <w:p w14:paraId="1308FDC5" w14:textId="77777777" w:rsidR="001D3C84" w:rsidRPr="001D3C84" w:rsidRDefault="001D3C84" w:rsidP="003024FB">
            <w:pPr>
              <w:rPr>
                <w:rFonts w:ascii="Arial" w:eastAsiaTheme="majorEastAsia" w:hAnsi="Arial" w:cs="Arial"/>
                <w:bCs/>
                <w:sz w:val="20"/>
                <w:szCs w:val="20"/>
              </w:rPr>
            </w:pPr>
          </w:p>
        </w:tc>
        <w:tc>
          <w:tcPr>
            <w:tcW w:w="1500" w:type="dxa"/>
          </w:tcPr>
          <w:p w14:paraId="5AFC2E41"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17875C97" w14:textId="77777777" w:rsidR="001D3C84" w:rsidRPr="001D3C84" w:rsidRDefault="001D3C84" w:rsidP="003024FB">
            <w:pPr>
              <w:rPr>
                <w:rFonts w:ascii="Arial" w:eastAsiaTheme="majorEastAsia" w:hAnsi="Arial" w:cs="Arial"/>
                <w:bCs/>
                <w:sz w:val="20"/>
                <w:szCs w:val="20"/>
              </w:rPr>
            </w:pPr>
          </w:p>
        </w:tc>
        <w:tc>
          <w:tcPr>
            <w:tcW w:w="1500" w:type="dxa"/>
          </w:tcPr>
          <w:p w14:paraId="3EF7D2B0" w14:textId="77777777" w:rsidR="001D3C84" w:rsidRPr="001D3C84" w:rsidRDefault="001D3C84" w:rsidP="003024FB">
            <w:pPr>
              <w:rPr>
                <w:rFonts w:ascii="Arial" w:eastAsiaTheme="majorEastAsia" w:hAnsi="Arial" w:cs="Arial"/>
                <w:bCs/>
                <w:sz w:val="20"/>
                <w:szCs w:val="20"/>
              </w:rPr>
            </w:pPr>
          </w:p>
        </w:tc>
        <w:tc>
          <w:tcPr>
            <w:tcW w:w="1501" w:type="dxa"/>
          </w:tcPr>
          <w:p w14:paraId="445A8EDE"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556E0B34" w14:textId="77777777" w:rsidTr="001D3C84">
        <w:tc>
          <w:tcPr>
            <w:tcW w:w="1710" w:type="dxa"/>
            <w:shd w:val="clear" w:color="auto" w:fill="F2F2F2" w:themeFill="background1" w:themeFillShade="F2"/>
          </w:tcPr>
          <w:p w14:paraId="495E26F0"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3</w:t>
            </w:r>
          </w:p>
          <w:p w14:paraId="3C08A47F"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329B77C6"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114EC664"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161DAD8B"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0B975E5A"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shd w:val="clear" w:color="auto" w:fill="F2F2F2" w:themeFill="background1" w:themeFillShade="F2"/>
          </w:tcPr>
          <w:p w14:paraId="490B66A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0C31E13C" w14:textId="77777777" w:rsidTr="001D3C84">
        <w:tc>
          <w:tcPr>
            <w:tcW w:w="1710" w:type="dxa"/>
          </w:tcPr>
          <w:p w14:paraId="79B0B15D"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4</w:t>
            </w:r>
          </w:p>
          <w:p w14:paraId="0A913712" w14:textId="77777777" w:rsidR="001D3C84" w:rsidRPr="001D3C84" w:rsidRDefault="001D3C84" w:rsidP="003024FB">
            <w:pPr>
              <w:rPr>
                <w:rFonts w:ascii="Arial" w:eastAsiaTheme="majorEastAsia" w:hAnsi="Arial" w:cs="Arial"/>
                <w:bCs/>
                <w:sz w:val="20"/>
                <w:szCs w:val="20"/>
              </w:rPr>
            </w:pPr>
          </w:p>
        </w:tc>
        <w:tc>
          <w:tcPr>
            <w:tcW w:w="1500" w:type="dxa"/>
          </w:tcPr>
          <w:p w14:paraId="7FFA71CC" w14:textId="77777777" w:rsidR="001D3C84" w:rsidRPr="001D3C84" w:rsidRDefault="001D3C84" w:rsidP="003024FB">
            <w:pPr>
              <w:rPr>
                <w:rFonts w:ascii="Arial" w:eastAsiaTheme="majorEastAsia" w:hAnsi="Arial" w:cs="Arial"/>
                <w:bCs/>
                <w:sz w:val="20"/>
                <w:szCs w:val="20"/>
              </w:rPr>
            </w:pPr>
          </w:p>
        </w:tc>
        <w:tc>
          <w:tcPr>
            <w:tcW w:w="1500" w:type="dxa"/>
          </w:tcPr>
          <w:p w14:paraId="45EC8B2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1EA354AD" w14:textId="77777777" w:rsidR="001D3C84" w:rsidRPr="001D3C84" w:rsidRDefault="001D3C84" w:rsidP="003024FB">
            <w:pPr>
              <w:rPr>
                <w:rFonts w:ascii="Arial" w:eastAsiaTheme="majorEastAsia" w:hAnsi="Arial" w:cs="Arial"/>
                <w:bCs/>
                <w:sz w:val="20"/>
                <w:szCs w:val="20"/>
              </w:rPr>
            </w:pPr>
          </w:p>
        </w:tc>
        <w:tc>
          <w:tcPr>
            <w:tcW w:w="1500" w:type="dxa"/>
          </w:tcPr>
          <w:p w14:paraId="7AF42DD6" w14:textId="77777777" w:rsidR="001D3C84" w:rsidRPr="001D3C84" w:rsidRDefault="001D3C84" w:rsidP="003024FB">
            <w:pPr>
              <w:rPr>
                <w:rFonts w:ascii="Arial" w:eastAsiaTheme="majorEastAsia" w:hAnsi="Arial" w:cs="Arial"/>
                <w:bCs/>
                <w:sz w:val="20"/>
                <w:szCs w:val="20"/>
              </w:rPr>
            </w:pPr>
          </w:p>
        </w:tc>
        <w:tc>
          <w:tcPr>
            <w:tcW w:w="1501" w:type="dxa"/>
          </w:tcPr>
          <w:p w14:paraId="048F6567"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496621BC" w14:textId="77777777" w:rsidTr="001D3C84">
        <w:tc>
          <w:tcPr>
            <w:tcW w:w="1710" w:type="dxa"/>
            <w:shd w:val="clear" w:color="auto" w:fill="F2F2F2" w:themeFill="background1" w:themeFillShade="F2"/>
          </w:tcPr>
          <w:p w14:paraId="709A72D7"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5</w:t>
            </w:r>
          </w:p>
          <w:p w14:paraId="70349D36"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2D800B3E"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243C0F49"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2F231B1E"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70D41F31"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shd w:val="clear" w:color="auto" w:fill="F2F2F2" w:themeFill="background1" w:themeFillShade="F2"/>
          </w:tcPr>
          <w:p w14:paraId="14BD9E14"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0F9316DD" w14:textId="77777777" w:rsidTr="001D3C84">
        <w:tc>
          <w:tcPr>
            <w:tcW w:w="1710" w:type="dxa"/>
          </w:tcPr>
          <w:p w14:paraId="6E28F32C"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6</w:t>
            </w:r>
          </w:p>
          <w:p w14:paraId="3405E2EF" w14:textId="77777777" w:rsidR="001D3C84" w:rsidRPr="001D3C84" w:rsidRDefault="001D3C84" w:rsidP="003024FB">
            <w:pPr>
              <w:rPr>
                <w:rFonts w:ascii="Arial" w:eastAsiaTheme="majorEastAsia" w:hAnsi="Arial" w:cs="Arial"/>
                <w:bCs/>
                <w:sz w:val="20"/>
                <w:szCs w:val="20"/>
              </w:rPr>
            </w:pPr>
          </w:p>
        </w:tc>
        <w:tc>
          <w:tcPr>
            <w:tcW w:w="1500" w:type="dxa"/>
          </w:tcPr>
          <w:p w14:paraId="60DFBFB7" w14:textId="77777777" w:rsidR="001D3C84" w:rsidRPr="001D3C84" w:rsidRDefault="001D3C84" w:rsidP="003024FB">
            <w:pPr>
              <w:rPr>
                <w:rFonts w:ascii="Arial" w:eastAsiaTheme="majorEastAsia" w:hAnsi="Arial" w:cs="Arial"/>
                <w:bCs/>
                <w:sz w:val="20"/>
                <w:szCs w:val="20"/>
              </w:rPr>
            </w:pPr>
          </w:p>
        </w:tc>
        <w:tc>
          <w:tcPr>
            <w:tcW w:w="1500" w:type="dxa"/>
          </w:tcPr>
          <w:p w14:paraId="02CAC7F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38662B91" w14:textId="77777777" w:rsidR="001D3C84" w:rsidRPr="001D3C84" w:rsidRDefault="001D3C84" w:rsidP="003024FB">
            <w:pPr>
              <w:rPr>
                <w:rFonts w:ascii="Arial" w:eastAsiaTheme="majorEastAsia" w:hAnsi="Arial" w:cs="Arial"/>
                <w:bCs/>
                <w:sz w:val="20"/>
                <w:szCs w:val="20"/>
              </w:rPr>
            </w:pPr>
          </w:p>
        </w:tc>
        <w:tc>
          <w:tcPr>
            <w:tcW w:w="1500" w:type="dxa"/>
          </w:tcPr>
          <w:p w14:paraId="42A2358A" w14:textId="77777777" w:rsidR="001D3C84" w:rsidRPr="001D3C84" w:rsidRDefault="001D3C84" w:rsidP="003024FB">
            <w:pPr>
              <w:rPr>
                <w:rFonts w:ascii="Arial" w:eastAsiaTheme="majorEastAsia" w:hAnsi="Arial" w:cs="Arial"/>
                <w:bCs/>
                <w:sz w:val="20"/>
                <w:szCs w:val="20"/>
              </w:rPr>
            </w:pPr>
          </w:p>
        </w:tc>
        <w:tc>
          <w:tcPr>
            <w:tcW w:w="1501" w:type="dxa"/>
          </w:tcPr>
          <w:p w14:paraId="63ECD422"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3D715118" w14:textId="77777777" w:rsidTr="001D3C84">
        <w:tc>
          <w:tcPr>
            <w:tcW w:w="1710" w:type="dxa"/>
            <w:shd w:val="clear" w:color="auto" w:fill="F2F2F2" w:themeFill="background1" w:themeFillShade="F2"/>
          </w:tcPr>
          <w:p w14:paraId="18E0CF17"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7</w:t>
            </w:r>
          </w:p>
          <w:p w14:paraId="03755EAE"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48BDEAF7"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38EBD096"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49ADCF93"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2C012660"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shd w:val="clear" w:color="auto" w:fill="F2F2F2" w:themeFill="background1" w:themeFillShade="F2"/>
          </w:tcPr>
          <w:p w14:paraId="432A00E6"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54A595C0" w14:textId="77777777" w:rsidTr="001D3C84">
        <w:tc>
          <w:tcPr>
            <w:tcW w:w="1710" w:type="dxa"/>
          </w:tcPr>
          <w:p w14:paraId="3F40E1E2"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8</w:t>
            </w:r>
          </w:p>
          <w:p w14:paraId="37265E9D" w14:textId="77777777" w:rsidR="001D3C84" w:rsidRPr="001D3C84" w:rsidRDefault="001D3C84" w:rsidP="003024FB">
            <w:pPr>
              <w:rPr>
                <w:rFonts w:ascii="Arial" w:eastAsiaTheme="majorEastAsia" w:hAnsi="Arial" w:cs="Arial"/>
                <w:bCs/>
                <w:sz w:val="20"/>
                <w:szCs w:val="20"/>
              </w:rPr>
            </w:pPr>
          </w:p>
        </w:tc>
        <w:tc>
          <w:tcPr>
            <w:tcW w:w="1500" w:type="dxa"/>
          </w:tcPr>
          <w:p w14:paraId="560879C3" w14:textId="77777777" w:rsidR="001D3C84" w:rsidRPr="001D3C84" w:rsidRDefault="001D3C84" w:rsidP="003024FB">
            <w:pPr>
              <w:rPr>
                <w:rFonts w:ascii="Arial" w:eastAsiaTheme="majorEastAsia" w:hAnsi="Arial" w:cs="Arial"/>
                <w:bCs/>
                <w:sz w:val="20"/>
                <w:szCs w:val="20"/>
              </w:rPr>
            </w:pPr>
          </w:p>
        </w:tc>
        <w:tc>
          <w:tcPr>
            <w:tcW w:w="1500" w:type="dxa"/>
          </w:tcPr>
          <w:p w14:paraId="1E3407AE"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4D176FE2" w14:textId="77777777" w:rsidR="001D3C84" w:rsidRPr="001D3C84" w:rsidRDefault="001D3C84" w:rsidP="003024FB">
            <w:pPr>
              <w:rPr>
                <w:rFonts w:ascii="Arial" w:eastAsiaTheme="majorEastAsia" w:hAnsi="Arial" w:cs="Arial"/>
                <w:bCs/>
                <w:sz w:val="20"/>
                <w:szCs w:val="20"/>
              </w:rPr>
            </w:pPr>
          </w:p>
        </w:tc>
        <w:tc>
          <w:tcPr>
            <w:tcW w:w="1500" w:type="dxa"/>
          </w:tcPr>
          <w:p w14:paraId="172C0A7E" w14:textId="77777777" w:rsidR="001D3C84" w:rsidRPr="001D3C84" w:rsidRDefault="001D3C84" w:rsidP="003024FB">
            <w:pPr>
              <w:rPr>
                <w:rFonts w:ascii="Arial" w:eastAsiaTheme="majorEastAsia" w:hAnsi="Arial" w:cs="Arial"/>
                <w:bCs/>
                <w:sz w:val="20"/>
                <w:szCs w:val="20"/>
              </w:rPr>
            </w:pPr>
          </w:p>
        </w:tc>
        <w:tc>
          <w:tcPr>
            <w:tcW w:w="1501" w:type="dxa"/>
          </w:tcPr>
          <w:p w14:paraId="0F9B5200"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4F60B78E" w14:textId="77777777" w:rsidTr="001D3C84">
        <w:tc>
          <w:tcPr>
            <w:tcW w:w="1710" w:type="dxa"/>
            <w:shd w:val="clear" w:color="auto" w:fill="F2F2F2" w:themeFill="background1" w:themeFillShade="F2"/>
          </w:tcPr>
          <w:p w14:paraId="6F6ED917"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9</w:t>
            </w:r>
          </w:p>
          <w:p w14:paraId="0A8B283E"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179380C2" w14:textId="77777777" w:rsidR="001D3C84" w:rsidRPr="001D3C84" w:rsidRDefault="001D3C84" w:rsidP="003024FB">
            <w:pPr>
              <w:rPr>
                <w:rFonts w:ascii="Arial" w:eastAsiaTheme="majorEastAsia" w:hAnsi="Arial" w:cs="Arial"/>
                <w:bCs/>
                <w:sz w:val="20"/>
                <w:szCs w:val="20"/>
              </w:rPr>
            </w:pPr>
          </w:p>
        </w:tc>
        <w:tc>
          <w:tcPr>
            <w:tcW w:w="1500" w:type="dxa"/>
            <w:shd w:val="clear" w:color="auto" w:fill="F2F2F2" w:themeFill="background1" w:themeFillShade="F2"/>
          </w:tcPr>
          <w:p w14:paraId="10BF48BA"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1555CE8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shd w:val="clear" w:color="auto" w:fill="F2F2F2" w:themeFill="background1" w:themeFillShade="F2"/>
          </w:tcPr>
          <w:p w14:paraId="17E0EB69"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shd w:val="clear" w:color="auto" w:fill="F2F2F2" w:themeFill="background1" w:themeFillShade="F2"/>
          </w:tcPr>
          <w:p w14:paraId="2AB3D0DF"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r>
      <w:tr w:rsidR="001D3C84" w:rsidRPr="001D3C84" w14:paraId="3D6F9693" w14:textId="77777777" w:rsidTr="001D3C84">
        <w:tc>
          <w:tcPr>
            <w:tcW w:w="1710" w:type="dxa"/>
          </w:tcPr>
          <w:p w14:paraId="4C6E936F"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10</w:t>
            </w:r>
          </w:p>
          <w:p w14:paraId="491AE2CA" w14:textId="77777777" w:rsidR="001D3C84" w:rsidRPr="001D3C84" w:rsidRDefault="001D3C84" w:rsidP="003024FB">
            <w:pPr>
              <w:rPr>
                <w:rFonts w:ascii="Arial" w:eastAsiaTheme="majorEastAsia" w:hAnsi="Arial" w:cs="Arial"/>
                <w:bCs/>
                <w:sz w:val="20"/>
                <w:szCs w:val="20"/>
              </w:rPr>
            </w:pPr>
          </w:p>
        </w:tc>
        <w:tc>
          <w:tcPr>
            <w:tcW w:w="1500" w:type="dxa"/>
          </w:tcPr>
          <w:p w14:paraId="277B3494" w14:textId="77777777" w:rsidR="001D3C84" w:rsidRPr="001D3C84" w:rsidRDefault="001D3C84" w:rsidP="003024FB">
            <w:pPr>
              <w:rPr>
                <w:rFonts w:ascii="Arial" w:eastAsiaTheme="majorEastAsia" w:hAnsi="Arial" w:cs="Arial"/>
                <w:bCs/>
                <w:sz w:val="20"/>
                <w:szCs w:val="20"/>
              </w:rPr>
            </w:pPr>
          </w:p>
        </w:tc>
        <w:tc>
          <w:tcPr>
            <w:tcW w:w="1500" w:type="dxa"/>
          </w:tcPr>
          <w:p w14:paraId="3C9CD966"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684CEA68"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0" w:type="dxa"/>
          </w:tcPr>
          <w:p w14:paraId="69C97524" w14:textId="77777777" w:rsidR="001D3C84" w:rsidRPr="001D3C84" w:rsidRDefault="001D3C84" w:rsidP="003024FB">
            <w:pPr>
              <w:rPr>
                <w:rFonts w:ascii="Arial" w:eastAsiaTheme="majorEastAsia" w:hAnsi="Arial" w:cs="Arial"/>
                <w:bCs/>
                <w:sz w:val="20"/>
                <w:szCs w:val="20"/>
              </w:rPr>
            </w:pPr>
            <w:r w:rsidRPr="001D3C84">
              <w:rPr>
                <w:rFonts w:ascii="Arial" w:eastAsiaTheme="majorEastAsia" w:hAnsi="Arial" w:cs="Arial"/>
                <w:bCs/>
                <w:sz w:val="20"/>
                <w:szCs w:val="20"/>
              </w:rPr>
              <w:t xml:space="preserve"> </w:t>
            </w:r>
          </w:p>
        </w:tc>
        <w:tc>
          <w:tcPr>
            <w:tcW w:w="1501" w:type="dxa"/>
          </w:tcPr>
          <w:p w14:paraId="709FCC5A" w14:textId="77777777" w:rsidR="001D3C84" w:rsidRPr="001D3C84" w:rsidRDefault="001D3C84" w:rsidP="003024FB">
            <w:pPr>
              <w:rPr>
                <w:rFonts w:ascii="Arial" w:eastAsiaTheme="majorEastAsia" w:hAnsi="Arial" w:cs="Arial"/>
                <w:bCs/>
                <w:sz w:val="20"/>
                <w:szCs w:val="20"/>
              </w:rPr>
            </w:pPr>
          </w:p>
        </w:tc>
      </w:tr>
    </w:tbl>
    <w:p w14:paraId="32554885" w14:textId="77777777" w:rsidR="001D3C84" w:rsidRPr="001D3C84" w:rsidRDefault="001D3C84" w:rsidP="001D3C84">
      <w:pPr>
        <w:rPr>
          <w:rFonts w:ascii="Arial" w:hAnsi="Arial" w:cs="Arial"/>
          <w:sz w:val="20"/>
          <w:szCs w:val="20"/>
        </w:rPr>
      </w:pPr>
    </w:p>
    <w:sectPr w:rsidR="001D3C84" w:rsidRPr="001D3C84" w:rsidSect="00DE34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206D" w14:textId="77777777" w:rsidR="00A31277" w:rsidRDefault="00A31277" w:rsidP="00BB55E9">
      <w:r>
        <w:separator/>
      </w:r>
    </w:p>
  </w:endnote>
  <w:endnote w:type="continuationSeparator" w:id="0">
    <w:p w14:paraId="618F2358" w14:textId="77777777" w:rsidR="00A31277" w:rsidRDefault="00A31277"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Pr="00DE34C6">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7C8F" w14:textId="77777777" w:rsidR="00A31277" w:rsidRDefault="00A31277" w:rsidP="00BB55E9">
      <w:r>
        <w:separator/>
      </w:r>
    </w:p>
  </w:footnote>
  <w:footnote w:type="continuationSeparator" w:id="0">
    <w:p w14:paraId="65986FB7" w14:textId="77777777" w:rsidR="00A31277" w:rsidRDefault="00A31277"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0E52" w14:textId="77777777" w:rsidR="002F407E" w:rsidRDefault="002F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4BF3B399"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16ACC983">
          <wp:simplePos x="0" y="0"/>
          <wp:positionH relativeFrom="column">
            <wp:posOffset>-895985</wp:posOffset>
          </wp:positionH>
          <wp:positionV relativeFrom="paragraph">
            <wp:posOffset>-465455</wp:posOffset>
          </wp:positionV>
          <wp:extent cx="7766685" cy="182753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6685" cy="1827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E9"/>
    <w:rsid w:val="00002F12"/>
    <w:rsid w:val="00097602"/>
    <w:rsid w:val="000A36E2"/>
    <w:rsid w:val="000C52EF"/>
    <w:rsid w:val="000E79B4"/>
    <w:rsid w:val="00130823"/>
    <w:rsid w:val="001421D7"/>
    <w:rsid w:val="001729F1"/>
    <w:rsid w:val="001868A1"/>
    <w:rsid w:val="00193EB3"/>
    <w:rsid w:val="001D3C84"/>
    <w:rsid w:val="001E0C94"/>
    <w:rsid w:val="00266319"/>
    <w:rsid w:val="00291589"/>
    <w:rsid w:val="00291842"/>
    <w:rsid w:val="002B4727"/>
    <w:rsid w:val="002C3717"/>
    <w:rsid w:val="002E4DD4"/>
    <w:rsid w:val="002F407E"/>
    <w:rsid w:val="0031355F"/>
    <w:rsid w:val="00317A57"/>
    <w:rsid w:val="0032721C"/>
    <w:rsid w:val="003476A4"/>
    <w:rsid w:val="00351CA6"/>
    <w:rsid w:val="00387694"/>
    <w:rsid w:val="00392AC4"/>
    <w:rsid w:val="003C30D1"/>
    <w:rsid w:val="003C791E"/>
    <w:rsid w:val="003D55E6"/>
    <w:rsid w:val="003E5364"/>
    <w:rsid w:val="00487E62"/>
    <w:rsid w:val="004B2946"/>
    <w:rsid w:val="004E6B61"/>
    <w:rsid w:val="00502EE8"/>
    <w:rsid w:val="005130E5"/>
    <w:rsid w:val="005353F8"/>
    <w:rsid w:val="005A4C52"/>
    <w:rsid w:val="00635D40"/>
    <w:rsid w:val="00635F99"/>
    <w:rsid w:val="00694CE2"/>
    <w:rsid w:val="0070521C"/>
    <w:rsid w:val="00725DE9"/>
    <w:rsid w:val="00737317"/>
    <w:rsid w:val="00742FAD"/>
    <w:rsid w:val="007B0EFD"/>
    <w:rsid w:val="007C0264"/>
    <w:rsid w:val="007E59D1"/>
    <w:rsid w:val="007E7515"/>
    <w:rsid w:val="008243FF"/>
    <w:rsid w:val="008907ED"/>
    <w:rsid w:val="008B0397"/>
    <w:rsid w:val="008D5854"/>
    <w:rsid w:val="009B7A65"/>
    <w:rsid w:val="00A02C61"/>
    <w:rsid w:val="00A31277"/>
    <w:rsid w:val="00A4237A"/>
    <w:rsid w:val="00A759D2"/>
    <w:rsid w:val="00A87B05"/>
    <w:rsid w:val="00AC3F94"/>
    <w:rsid w:val="00AE7ABF"/>
    <w:rsid w:val="00AF287B"/>
    <w:rsid w:val="00BB55E9"/>
    <w:rsid w:val="00BD78FE"/>
    <w:rsid w:val="00C323EF"/>
    <w:rsid w:val="00CA1F06"/>
    <w:rsid w:val="00D07031"/>
    <w:rsid w:val="00D41228"/>
    <w:rsid w:val="00D83F6A"/>
    <w:rsid w:val="00DE34C6"/>
    <w:rsid w:val="00E04402"/>
    <w:rsid w:val="00E15F87"/>
    <w:rsid w:val="00E4525F"/>
    <w:rsid w:val="00E57D96"/>
    <w:rsid w:val="00E9124E"/>
    <w:rsid w:val="00F10608"/>
    <w:rsid w:val="00F14CBC"/>
    <w:rsid w:val="00F30479"/>
    <w:rsid w:val="00F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1D3C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C84"/>
    <w:rPr>
      <w:sz w:val="16"/>
      <w:szCs w:val="16"/>
    </w:rPr>
  </w:style>
  <w:style w:type="paragraph" w:styleId="CommentText">
    <w:name w:val="annotation text"/>
    <w:basedOn w:val="Normal"/>
    <w:link w:val="CommentTextChar"/>
    <w:uiPriority w:val="99"/>
    <w:unhideWhenUsed/>
    <w:rsid w:val="001D3C84"/>
    <w:pPr>
      <w:spacing w:after="160"/>
    </w:pPr>
    <w:rPr>
      <w:sz w:val="20"/>
      <w:szCs w:val="20"/>
      <w:lang w:val="en-GB"/>
    </w:rPr>
  </w:style>
  <w:style w:type="character" w:customStyle="1" w:styleId="CommentTextChar">
    <w:name w:val="Comment Text Char"/>
    <w:basedOn w:val="DefaultParagraphFont"/>
    <w:link w:val="CommentText"/>
    <w:uiPriority w:val="99"/>
    <w:rsid w:val="001D3C8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28</cp:revision>
  <dcterms:created xsi:type="dcterms:W3CDTF">2019-10-11T15:37:00Z</dcterms:created>
  <dcterms:modified xsi:type="dcterms:W3CDTF">2019-10-22T00:29:00Z</dcterms:modified>
</cp:coreProperties>
</file>