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07BA" w14:textId="77777777" w:rsidR="00601EB4" w:rsidRPr="00F66446" w:rsidRDefault="00601EB4" w:rsidP="00264A9F">
      <w:pPr>
        <w:pStyle w:val="Title"/>
        <w:spacing w:after="360"/>
        <w:rPr>
          <w:sz w:val="22"/>
          <w:szCs w:val="22"/>
        </w:rPr>
      </w:pPr>
    </w:p>
    <w:p w14:paraId="37CB07BB" w14:textId="77777777" w:rsidR="00403EE7" w:rsidRPr="00F66446" w:rsidRDefault="00403EE7" w:rsidP="00264A9F">
      <w:pPr>
        <w:pStyle w:val="Title"/>
        <w:spacing w:after="360"/>
        <w:rPr>
          <w:sz w:val="22"/>
          <w:szCs w:val="22"/>
        </w:rPr>
      </w:pPr>
      <w:r w:rsidRPr="00F66446">
        <w:rPr>
          <w:sz w:val="22"/>
          <w:szCs w:val="22"/>
        </w:rPr>
        <w:t>ADVISOR AGREEMENT</w:t>
      </w:r>
    </w:p>
    <w:p w14:paraId="37CB07BC" w14:textId="4B6B9AF2" w:rsidR="00403EE7" w:rsidRPr="00F66446" w:rsidRDefault="00973423">
      <w:pPr>
        <w:pStyle w:val="Bod"/>
        <w:rPr>
          <w:sz w:val="22"/>
          <w:szCs w:val="22"/>
        </w:rPr>
      </w:pPr>
      <w:r w:rsidRPr="00F66446">
        <w:rPr>
          <w:sz w:val="22"/>
          <w:szCs w:val="22"/>
        </w:rPr>
        <w:t xml:space="preserve">Effective </w:t>
      </w:r>
      <w:r w:rsidR="00295B4D" w:rsidRPr="00295B4D">
        <w:rPr>
          <w:sz w:val="22"/>
          <w:highlight w:val="yellow"/>
        </w:rPr>
        <w:t>__Effective_Date__,</w:t>
      </w:r>
      <w:r w:rsidR="00295B4D">
        <w:rPr>
          <w:sz w:val="22"/>
        </w:rPr>
        <w:t xml:space="preserve"> </w:t>
      </w:r>
      <w:r w:rsidR="00427022" w:rsidRPr="00F66446">
        <w:rPr>
          <w:sz w:val="22"/>
          <w:szCs w:val="22"/>
        </w:rPr>
        <w:t>20</w:t>
      </w:r>
      <w:r w:rsidR="00427022" w:rsidRPr="00295B4D">
        <w:rPr>
          <w:sz w:val="22"/>
          <w:szCs w:val="22"/>
          <w:highlight w:val="yellow"/>
        </w:rPr>
        <w:t>__</w:t>
      </w:r>
      <w:r w:rsidR="00CB6951" w:rsidRPr="00F66446">
        <w:rPr>
          <w:sz w:val="22"/>
          <w:szCs w:val="22"/>
        </w:rPr>
        <w:t xml:space="preserve">, </w:t>
      </w:r>
      <w:r w:rsidR="00295B4D" w:rsidRPr="00295B4D">
        <w:rPr>
          <w:sz w:val="22"/>
          <w:highlight w:val="yellow"/>
          <w:u w:val="single"/>
        </w:rPr>
        <w:t>__Entity Name__</w:t>
      </w:r>
      <w:r w:rsidR="00403EE7" w:rsidRPr="00F66446">
        <w:rPr>
          <w:sz w:val="22"/>
          <w:szCs w:val="22"/>
        </w:rPr>
        <w:t xml:space="preserve"> (“Advisor”) </w:t>
      </w:r>
      <w:r w:rsidRPr="00F66446">
        <w:rPr>
          <w:sz w:val="22"/>
          <w:szCs w:val="22"/>
        </w:rPr>
        <w:t xml:space="preserve">and </w:t>
      </w:r>
      <w:r w:rsidR="00295B4D" w:rsidRPr="00295B4D">
        <w:rPr>
          <w:sz w:val="22"/>
          <w:highlight w:val="yellow"/>
          <w:u w:val="single"/>
        </w:rPr>
        <w:t>__Entity Name_</w:t>
      </w:r>
      <w:r w:rsidRPr="00F66446">
        <w:rPr>
          <w:sz w:val="22"/>
          <w:szCs w:val="22"/>
        </w:rPr>
        <w:t xml:space="preserve"> </w:t>
      </w:r>
      <w:r w:rsidR="00403EE7" w:rsidRPr="00F66446">
        <w:rPr>
          <w:sz w:val="22"/>
          <w:szCs w:val="22"/>
        </w:rPr>
        <w:t xml:space="preserve">(“Company”) agree as follows:  </w:t>
      </w:r>
    </w:p>
    <w:p w14:paraId="37CB07BD" w14:textId="77777777" w:rsidR="00403EE7" w:rsidRPr="00F66446" w:rsidRDefault="00403EE7">
      <w:pPr>
        <w:pStyle w:val="Heading1"/>
        <w:keepNext w:val="0"/>
        <w:rPr>
          <w:sz w:val="22"/>
          <w:szCs w:val="22"/>
        </w:rPr>
      </w:pPr>
      <w:r w:rsidRPr="00F66446">
        <w:rPr>
          <w:sz w:val="22"/>
          <w:szCs w:val="22"/>
          <w:u w:val="single"/>
        </w:rPr>
        <w:t>Services and Consideration</w:t>
      </w:r>
      <w:r w:rsidR="00485601" w:rsidRPr="00F66446">
        <w:rPr>
          <w:sz w:val="22"/>
          <w:szCs w:val="22"/>
        </w:rPr>
        <w:t>.  Advisor will consult and work with and advise Company from time to time on matters</w:t>
      </w:r>
      <w:r w:rsidR="003E2536" w:rsidRPr="00F66446">
        <w:rPr>
          <w:sz w:val="22"/>
          <w:szCs w:val="22"/>
        </w:rPr>
        <w:t xml:space="preserve"> relating to Company’s actual or potential business, technology and products </w:t>
      </w:r>
      <w:r w:rsidRPr="00F66446">
        <w:rPr>
          <w:sz w:val="22"/>
          <w:szCs w:val="22"/>
        </w:rPr>
        <w:t xml:space="preserve">(the “Services”).  The only consideration due Advisor with respect to the subject matter of this Agreement is the consideration specified on Attachment 1.  </w:t>
      </w:r>
    </w:p>
    <w:p w14:paraId="37CB07BE" w14:textId="77777777" w:rsidR="00403EE7" w:rsidRPr="00F66446" w:rsidRDefault="00E625F6" w:rsidP="00FE7788">
      <w:pPr>
        <w:pStyle w:val="Heading1"/>
        <w:keepNext w:val="0"/>
        <w:rPr>
          <w:sz w:val="22"/>
          <w:szCs w:val="22"/>
        </w:rPr>
      </w:pPr>
      <w:r w:rsidRPr="00F66446">
        <w:rPr>
          <w:sz w:val="22"/>
          <w:szCs w:val="22"/>
          <w:u w:val="single"/>
        </w:rPr>
        <w:t>Proprietary Information/Intellectual Property</w:t>
      </w:r>
      <w:r w:rsidR="00AD1BA3" w:rsidRPr="00F66446">
        <w:rPr>
          <w:sz w:val="22"/>
          <w:szCs w:val="22"/>
        </w:rPr>
        <w:t xml:space="preserve">.  The business, technical and financial information Advisor obtains from the Company or that arise out of the Services </w:t>
      </w:r>
      <w:r w:rsidR="00403EE7" w:rsidRPr="00F66446">
        <w:rPr>
          <w:sz w:val="22"/>
          <w:szCs w:val="22"/>
        </w:rPr>
        <w:t>constitute “Proprietary Information.”  Advisor will not disclose or, except in performing the Services, use any Proprietary Information.  However, Advisor shall not be so obligated with respect to information from Company that (i) is or becomes publicly available without restriction through no fault of Advisor, or (ii) that Advisor knew without restriction prior to its disclosure by Company.  Upon termination or as otherwise requested by Company, Advisor will promptly provide to Company all items and copies containing or embodying Proprietary Information. Company shall own, and Advisor hereby assigns to Company, all intellectual property rights throughout the world that arise in connection with the Services or that relate to Proprietary Information; further Company will be free to fully use, employ and exercise any other information, works of authorship, technology or inventions Advisor has provided or disclosed or may provide or disclose, and any related intellectual property rights, and to allow others to do so.</w:t>
      </w:r>
    </w:p>
    <w:p w14:paraId="37CB07BF" w14:textId="77777777" w:rsidR="00403EE7" w:rsidRPr="00F66446" w:rsidRDefault="00403EE7">
      <w:pPr>
        <w:pStyle w:val="Heading1"/>
        <w:keepNext w:val="0"/>
        <w:rPr>
          <w:sz w:val="22"/>
          <w:szCs w:val="22"/>
        </w:rPr>
      </w:pPr>
      <w:r w:rsidRPr="00F66446">
        <w:rPr>
          <w:sz w:val="22"/>
          <w:szCs w:val="22"/>
          <w:u w:val="single"/>
        </w:rPr>
        <w:t>Solicitation</w:t>
      </w:r>
      <w:r w:rsidRPr="00F66446">
        <w:rPr>
          <w:sz w:val="22"/>
          <w:szCs w:val="22"/>
        </w:rPr>
        <w:t xml:space="preserve">. Advisor agrees that during the term of this Agreement and for one year thereafter, Advisor will not encourage or solicit any employee or consultant of Company to leave (or devote less than his or her full time to) Company for any reason. </w:t>
      </w:r>
    </w:p>
    <w:p w14:paraId="37CB07C0" w14:textId="77777777" w:rsidR="00403EE7" w:rsidRPr="00F66446" w:rsidRDefault="00403EE7">
      <w:pPr>
        <w:pStyle w:val="Heading1"/>
        <w:keepNext w:val="0"/>
        <w:rPr>
          <w:sz w:val="22"/>
          <w:szCs w:val="22"/>
        </w:rPr>
      </w:pPr>
      <w:r w:rsidRPr="00F66446">
        <w:rPr>
          <w:sz w:val="22"/>
          <w:szCs w:val="22"/>
          <w:u w:val="single"/>
        </w:rPr>
        <w:t>Termination</w:t>
      </w:r>
      <w:r w:rsidR="00027EC4" w:rsidRPr="00F66446">
        <w:rPr>
          <w:sz w:val="22"/>
          <w:szCs w:val="22"/>
        </w:rPr>
        <w:t>.  Either party may terminate this Agreement at any time, for any reason, by giving the other party 10</w:t>
      </w:r>
      <w:r w:rsidRPr="00F66446">
        <w:rPr>
          <w:sz w:val="22"/>
          <w:szCs w:val="22"/>
        </w:rPr>
        <w:t xml:space="preserve"> days’ notice.  Sections 2 through 6 of this Agreement shall survive any termination or expiration.  </w:t>
      </w:r>
    </w:p>
    <w:p w14:paraId="37CB07C1" w14:textId="77777777" w:rsidR="00403EE7" w:rsidRPr="00F66446" w:rsidRDefault="00403EE7">
      <w:pPr>
        <w:pStyle w:val="Heading1"/>
        <w:keepNext w:val="0"/>
        <w:rPr>
          <w:sz w:val="22"/>
          <w:szCs w:val="22"/>
        </w:rPr>
      </w:pPr>
      <w:r w:rsidRPr="00F66446">
        <w:rPr>
          <w:sz w:val="22"/>
          <w:szCs w:val="22"/>
          <w:u w:val="single"/>
        </w:rPr>
        <w:t>Relationship of the Parties; No Conflicts</w:t>
      </w:r>
      <w:r w:rsidR="00E625F6" w:rsidRPr="00F66446">
        <w:rPr>
          <w:sz w:val="22"/>
          <w:szCs w:val="22"/>
        </w:rPr>
        <w:t xml:space="preserve">.  Notwithstanding any provision hereof, for all purposes of this Agreement, each party shall be and act as an independent contractor and not as a partner, joint venturer, agent or employee of the other and shall not bind nor attempt to bind the other to any contract. Advisor represents and warrants that neither this Agreement nor the performance thereof will conflict with or violate any obligation of Advisor or right of any third party and, during the term, Advisor will not create a conflict of interest </w:t>
      </w:r>
      <w:r w:rsidR="00A45E55" w:rsidRPr="00F66446">
        <w:rPr>
          <w:sz w:val="22"/>
          <w:szCs w:val="22"/>
        </w:rPr>
        <w:t>by providing services to a Company competitor or competing or preparing to compete with Company’s business or anticipated business or assisting others to do so</w:t>
      </w:r>
      <w:r w:rsidRPr="00F66446">
        <w:rPr>
          <w:sz w:val="22"/>
          <w:szCs w:val="22"/>
        </w:rPr>
        <w:t xml:space="preserve">.  </w:t>
      </w:r>
    </w:p>
    <w:p w14:paraId="37CB07C2" w14:textId="55BE6BA6" w:rsidR="00403EE7" w:rsidRPr="00F66446" w:rsidRDefault="00403EE7" w:rsidP="009624C8">
      <w:pPr>
        <w:pStyle w:val="Heading1"/>
        <w:keepNext w:val="0"/>
        <w:rPr>
          <w:sz w:val="22"/>
          <w:szCs w:val="22"/>
        </w:rPr>
      </w:pPr>
      <w:r w:rsidRPr="00F66446">
        <w:rPr>
          <w:sz w:val="22"/>
          <w:szCs w:val="22"/>
          <w:u w:val="single"/>
        </w:rPr>
        <w:t>Miscellaneous</w:t>
      </w:r>
      <w:r w:rsidRPr="00F66446">
        <w:rPr>
          <w:sz w:val="22"/>
          <w:szCs w:val="22"/>
        </w:rPr>
        <w:t>.  This Agreement is personal to and nontransferable by Advisor, but transferable by Company.  This is the entire agreement between the parties with respect to the subject matter hereof and no modifications or waivers to this Agreement shall be effective unless in writing and signed by both parties.  In the event that any provision of this Agreement is determined to be illegal or unenforceable, that provision shall be limited or eliminated to the minimum extent necessary so that this Agreement shall otherwise remain in full force and effect and enforceable.  This Agreement shall be governed by and construed in accordance with the laws of the</w:t>
      </w:r>
      <w:r w:rsidRPr="00736178">
        <w:rPr>
          <w:sz w:val="22"/>
          <w:szCs w:val="22"/>
        </w:rPr>
        <w:t xml:space="preserve"> </w:t>
      </w:r>
      <w:r w:rsidR="00736178" w:rsidRPr="00736178">
        <w:rPr>
          <w:sz w:val="22"/>
          <w:szCs w:val="22"/>
        </w:rPr>
        <w:t xml:space="preserve">State of </w:t>
      </w:r>
      <w:r w:rsidR="00295B4D" w:rsidRPr="00295B4D">
        <w:rPr>
          <w:sz w:val="22"/>
          <w:szCs w:val="22"/>
          <w:highlight w:val="yellow"/>
          <w:u w:val="single"/>
        </w:rPr>
        <w:t>__Governing Law__</w:t>
      </w:r>
      <w:r w:rsidR="00295B4D">
        <w:rPr>
          <w:sz w:val="22"/>
          <w:szCs w:val="22"/>
        </w:rPr>
        <w:t xml:space="preserve"> </w:t>
      </w:r>
      <w:r w:rsidRPr="00F66446">
        <w:rPr>
          <w:sz w:val="22"/>
          <w:szCs w:val="22"/>
        </w:rPr>
        <w:t xml:space="preserve">without regard to the conflicts of law provisions thereof.  </w:t>
      </w:r>
    </w:p>
    <w:p w14:paraId="37CB07C3" w14:textId="77777777" w:rsidR="009D7222" w:rsidRPr="00F66446" w:rsidRDefault="005B42EF">
      <w:pPr>
        <w:spacing w:after="240"/>
        <w:jc w:val="both"/>
        <w:rPr>
          <w:sz w:val="22"/>
          <w:szCs w:val="22"/>
        </w:rPr>
      </w:pPr>
      <w:r w:rsidRPr="00F66446">
        <w:rPr>
          <w:sz w:val="22"/>
          <w:szCs w:val="22"/>
        </w:rPr>
        <w:t>NOTICE: This agreement does not affect any immunity under 18 USC Sections 1833(b) (1) or (2), which read as follows (note that for purposes of this statute only, individuals performing work as contractors or consultants are considered to be employees):</w:t>
      </w:r>
    </w:p>
    <w:p w14:paraId="37CB07C4" w14:textId="77777777" w:rsidR="009D7222" w:rsidRPr="00F66446" w:rsidRDefault="005B42EF">
      <w:pPr>
        <w:spacing w:after="240"/>
        <w:ind w:left="770" w:right="770"/>
        <w:jc w:val="both"/>
        <w:rPr>
          <w:sz w:val="22"/>
          <w:szCs w:val="22"/>
        </w:rPr>
      </w:pPr>
      <w:r w:rsidRPr="00F66446">
        <w:rPr>
          <w:sz w:val="22"/>
          <w:szCs w:val="22"/>
        </w:rPr>
        <w:lastRenderedPageBreak/>
        <w:t>(1)  An individual shall not be held criminally or civilly liable under any Federal or State trade secret law for the disclosure of a trade secret that (A) is made (i) in confidence to a Federal, State, or local government official, either directly or indirectly, or to an attorney; and (ii) solely for the purpose of reporting or investigating a suspected violation of law; or (B) is made in a complaint or other document filed in a lawsuit or other proceeding, if such filing is made under seal.</w:t>
      </w:r>
    </w:p>
    <w:p w14:paraId="37CB07C5" w14:textId="77777777" w:rsidR="009D7222" w:rsidRPr="00F66446" w:rsidRDefault="005B42EF">
      <w:pPr>
        <w:spacing w:after="240"/>
        <w:ind w:left="770" w:right="770"/>
        <w:jc w:val="both"/>
        <w:rPr>
          <w:sz w:val="22"/>
          <w:szCs w:val="22"/>
        </w:rPr>
      </w:pPr>
      <w:r w:rsidRPr="00F66446">
        <w:rPr>
          <w:sz w:val="22"/>
          <w:szCs w:val="22"/>
        </w:rPr>
        <w:t>(2)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14:paraId="37CB07C6" w14:textId="77777777" w:rsidR="009D7222" w:rsidRPr="00F66446" w:rsidRDefault="009D7222">
      <w:pPr>
        <w:spacing w:after="240"/>
        <w:ind w:left="770" w:right="770"/>
        <w:jc w:val="both"/>
        <w:rPr>
          <w:sz w:val="22"/>
          <w:szCs w:val="22"/>
        </w:rPr>
      </w:pPr>
    </w:p>
    <w:p w14:paraId="37CB07C7" w14:textId="77777777" w:rsidR="00403EE7" w:rsidRPr="00F66446" w:rsidRDefault="00403EE7">
      <w:pPr>
        <w:tabs>
          <w:tab w:val="right" w:leader="underscore" w:pos="3960"/>
          <w:tab w:val="left" w:pos="4320"/>
          <w:tab w:val="right" w:leader="underscore" w:pos="9000"/>
        </w:tabs>
        <w:rPr>
          <w:sz w:val="22"/>
          <w:szCs w:val="22"/>
        </w:rPr>
      </w:pPr>
      <w:r w:rsidRPr="0054266B">
        <w:rPr>
          <w:sz w:val="22"/>
          <w:szCs w:val="22"/>
          <w:u w:val="single"/>
        </w:rPr>
        <w:tab/>
      </w:r>
      <w:r w:rsidRPr="00F66446">
        <w:rPr>
          <w:sz w:val="22"/>
          <w:szCs w:val="22"/>
        </w:rPr>
        <w:tab/>
      </w:r>
      <w:r w:rsidR="00D17528" w:rsidRPr="00F66446">
        <w:rPr>
          <w:color w:val="1F497D"/>
          <w:sz w:val="22"/>
          <w:szCs w:val="22"/>
        </w:rPr>
        <w:t>_________________________________________</w:t>
      </w:r>
    </w:p>
    <w:p w14:paraId="37CB07C8" w14:textId="38A03773" w:rsidR="00403EE7" w:rsidRPr="00F66446" w:rsidRDefault="00295B4D">
      <w:pPr>
        <w:tabs>
          <w:tab w:val="left" w:pos="4320"/>
          <w:tab w:val="right" w:leader="underscore" w:pos="9000"/>
        </w:tabs>
        <w:rPr>
          <w:sz w:val="22"/>
          <w:szCs w:val="22"/>
        </w:rPr>
      </w:pPr>
      <w:r w:rsidRPr="00295B4D">
        <w:rPr>
          <w:sz w:val="22"/>
          <w:highlight w:val="yellow"/>
          <w:u w:val="single"/>
        </w:rPr>
        <w:t>__Entity Name_</w:t>
      </w:r>
      <w:r w:rsidRPr="00F66446">
        <w:rPr>
          <w:sz w:val="22"/>
          <w:szCs w:val="22"/>
        </w:rPr>
        <w:t xml:space="preserve"> </w:t>
      </w:r>
      <w:r w:rsidR="00403EE7" w:rsidRPr="00F66446">
        <w:rPr>
          <w:sz w:val="22"/>
          <w:szCs w:val="22"/>
        </w:rPr>
        <w:t>(Advisor)</w:t>
      </w:r>
      <w:r w:rsidR="00403EE7" w:rsidRPr="00F66446">
        <w:rPr>
          <w:sz w:val="22"/>
          <w:szCs w:val="22"/>
        </w:rPr>
        <w:tab/>
      </w:r>
      <w:r w:rsidRPr="00295B4D">
        <w:rPr>
          <w:sz w:val="22"/>
          <w:highlight w:val="yellow"/>
          <w:u w:val="single"/>
        </w:rPr>
        <w:t>__Entity Name_</w:t>
      </w:r>
      <w:r w:rsidRPr="00F66446">
        <w:rPr>
          <w:sz w:val="22"/>
          <w:szCs w:val="22"/>
        </w:rPr>
        <w:t xml:space="preserve"> </w:t>
      </w:r>
      <w:r w:rsidR="00D17528" w:rsidRPr="00F66446">
        <w:rPr>
          <w:sz w:val="22"/>
          <w:szCs w:val="22"/>
        </w:rPr>
        <w:t>(Company)</w:t>
      </w:r>
    </w:p>
    <w:p w14:paraId="37CB07C9" w14:textId="77777777" w:rsidR="00403EE7" w:rsidRPr="00F66446" w:rsidRDefault="00403EE7">
      <w:pPr>
        <w:tabs>
          <w:tab w:val="right" w:leader="underscore" w:pos="3960"/>
          <w:tab w:val="left" w:pos="4320"/>
          <w:tab w:val="right" w:leader="underscore" w:pos="9000"/>
        </w:tabs>
        <w:rPr>
          <w:sz w:val="22"/>
          <w:szCs w:val="22"/>
        </w:rPr>
      </w:pPr>
    </w:p>
    <w:p w14:paraId="37CB07CA" w14:textId="77777777" w:rsidR="00027EC4" w:rsidRPr="00F66446" w:rsidRDefault="00403EE7" w:rsidP="009F0283">
      <w:pPr>
        <w:tabs>
          <w:tab w:val="right" w:leader="underscore" w:pos="3960"/>
          <w:tab w:val="left" w:pos="4320"/>
          <w:tab w:val="right" w:leader="underscore" w:pos="9000"/>
        </w:tabs>
        <w:rPr>
          <w:sz w:val="22"/>
          <w:szCs w:val="22"/>
        </w:rPr>
      </w:pPr>
      <w:r w:rsidRPr="00F66446">
        <w:rPr>
          <w:sz w:val="22"/>
          <w:szCs w:val="22"/>
        </w:rPr>
        <w:t xml:space="preserve">By:  </w:t>
      </w:r>
      <w:r w:rsidRPr="00F66446">
        <w:rPr>
          <w:sz w:val="22"/>
          <w:szCs w:val="22"/>
        </w:rPr>
        <w:tab/>
      </w:r>
      <w:r w:rsidRPr="00F66446">
        <w:rPr>
          <w:sz w:val="22"/>
          <w:szCs w:val="22"/>
        </w:rPr>
        <w:tab/>
        <w:t xml:space="preserve">By:  </w:t>
      </w:r>
      <w:r w:rsidRPr="00F66446">
        <w:rPr>
          <w:sz w:val="22"/>
          <w:szCs w:val="22"/>
        </w:rPr>
        <w:tab/>
      </w:r>
    </w:p>
    <w:p w14:paraId="37CB07CB" w14:textId="77777777" w:rsidR="00403EE7" w:rsidRPr="00F66446" w:rsidRDefault="00027EC4" w:rsidP="00027EC4">
      <w:pPr>
        <w:tabs>
          <w:tab w:val="right" w:leader="underscore" w:pos="3960"/>
          <w:tab w:val="left" w:pos="4320"/>
          <w:tab w:val="right" w:leader="underscore" w:pos="9000"/>
        </w:tabs>
        <w:jc w:val="center"/>
        <w:rPr>
          <w:sz w:val="22"/>
          <w:szCs w:val="22"/>
        </w:rPr>
      </w:pPr>
      <w:r w:rsidRPr="00F66446">
        <w:rPr>
          <w:sz w:val="22"/>
          <w:szCs w:val="22"/>
        </w:rPr>
        <w:br w:type="page"/>
      </w:r>
      <w:r w:rsidRPr="00F66446">
        <w:rPr>
          <w:sz w:val="22"/>
          <w:szCs w:val="22"/>
        </w:rPr>
        <w:lastRenderedPageBreak/>
        <w:t>ATTACHMENT 1</w:t>
      </w:r>
    </w:p>
    <w:p w14:paraId="37CB07CC" w14:textId="77777777" w:rsidR="00027EC4" w:rsidRPr="00F66446" w:rsidRDefault="00027EC4" w:rsidP="00027EC4">
      <w:pPr>
        <w:tabs>
          <w:tab w:val="right" w:leader="underscore" w:pos="3960"/>
          <w:tab w:val="left" w:pos="4320"/>
          <w:tab w:val="right" w:leader="underscore" w:pos="9000"/>
        </w:tabs>
        <w:jc w:val="center"/>
        <w:rPr>
          <w:sz w:val="22"/>
          <w:szCs w:val="22"/>
        </w:rPr>
      </w:pPr>
    </w:p>
    <w:p w14:paraId="51F60B58" w14:textId="77777777" w:rsidR="00660540" w:rsidRDefault="00660540" w:rsidP="00660540">
      <w:pPr>
        <w:spacing w:after="240"/>
        <w:jc w:val="both"/>
      </w:pPr>
      <w:r>
        <w:rPr>
          <w:b/>
          <w:u w:val="single"/>
        </w:rPr>
        <w:t>FEES/EXPENSES</w:t>
      </w:r>
      <w:r>
        <w:rPr>
          <w:b/>
        </w:rPr>
        <w:t xml:space="preserve"> </w:t>
      </w:r>
      <w:r>
        <w:rPr>
          <w:caps/>
        </w:rPr>
        <w:t>(applicable only where checked and completed)</w:t>
      </w:r>
    </w:p>
    <w:p w14:paraId="671E1CF6" w14:textId="2EF8515A" w:rsidR="00660540" w:rsidRDefault="00660540" w:rsidP="00660540">
      <w:pPr>
        <w:spacing w:after="240"/>
        <w:jc w:val="both"/>
        <w:rPr>
          <w:caps/>
        </w:rPr>
      </w:pPr>
      <w:r>
        <w:t>Hourly fee of</w:t>
      </w:r>
      <w:r w:rsidR="00295B4D">
        <w:t xml:space="preserve"> </w:t>
      </w:r>
      <w:r w:rsidR="00EC6025">
        <w:t xml:space="preserve">___ </w:t>
      </w:r>
      <w:r>
        <w:t xml:space="preserve">for Services expressly requested in writing by Company (provided that such hours are consistent with </w:t>
      </w:r>
      <w:r w:rsidR="00F44038">
        <w:t>Advisor</w:t>
      </w:r>
      <w:r>
        <w:t xml:space="preserve">’s written estimate of such hours provided by </w:t>
      </w:r>
      <w:r w:rsidR="00F44038">
        <w:t>Advisor</w:t>
      </w:r>
      <w:r>
        <w:t xml:space="preserve"> in advance of such Services and provided that Company may withdraw requests for Services at any time) exclusive of travel time,</w:t>
      </w:r>
      <w:r>
        <w:rPr>
          <w:caps/>
        </w:rPr>
        <w:t xml:space="preserve"> payable monthly in arrears __</w:t>
      </w:r>
      <w:r w:rsidR="004153BA">
        <w:t xml:space="preserve"> </w:t>
      </w:r>
      <w:r>
        <w:rPr>
          <w:caps/>
        </w:rPr>
        <w:t>days after receipt of an invoice detailing hours, with a cap of $____________</w:t>
      </w:r>
      <w:r w:rsidR="00295B4D">
        <w:t xml:space="preserve"> </w:t>
      </w:r>
      <w:r>
        <w:rPr>
          <w:caps/>
        </w:rPr>
        <w:t xml:space="preserve">in the aggregate.  </w:t>
      </w:r>
    </w:p>
    <w:p w14:paraId="0949FC16" w14:textId="0B58B172" w:rsidR="00660540" w:rsidRDefault="00660540" w:rsidP="00660540">
      <w:pPr>
        <w:spacing w:after="240"/>
        <w:jc w:val="both"/>
        <w:rPr>
          <w:caps/>
        </w:rPr>
      </w:pPr>
      <w:r>
        <w:rPr>
          <w:caps/>
        </w:rPr>
        <w:t>Flat fee of $__________</w:t>
      </w:r>
      <w:r w:rsidR="00EC6025">
        <w:rPr>
          <w:caps/>
        </w:rPr>
        <w:t>_</w:t>
      </w:r>
      <w:r w:rsidR="00EC6025">
        <w:t xml:space="preserve"> </w:t>
      </w:r>
      <w:r w:rsidR="00EC6025">
        <w:rPr>
          <w:caps/>
        </w:rPr>
        <w:t>PAYABLE</w:t>
      </w:r>
      <w:r>
        <w:rPr>
          <w:caps/>
        </w:rPr>
        <w:t xml:space="preserve"> __</w:t>
      </w:r>
      <w:r w:rsidR="00295B4D">
        <w:t xml:space="preserve"> </w:t>
      </w:r>
      <w:r>
        <w:rPr>
          <w:caps/>
        </w:rPr>
        <w:t>days after timely completion of the following milestones prior to termination:</w:t>
      </w:r>
    </w:p>
    <w:p w14:paraId="76588EFD" w14:textId="16C003AB" w:rsidR="00660540" w:rsidRPr="00B06596" w:rsidRDefault="00660540" w:rsidP="00660540">
      <w:pPr>
        <w:spacing w:after="240"/>
        <w:jc w:val="both"/>
        <w:rPr>
          <w:caps/>
        </w:rPr>
      </w:pPr>
      <w:r>
        <w:rPr>
          <w:caps/>
        </w:rPr>
        <w:t xml:space="preserve">Expense reimbursement (even if this item is checked, and therefore applicable, reimbursement is (1) limited to required, reasonable telephone expenses and </w:t>
      </w:r>
      <w:r w:rsidR="00EC6025">
        <w:rPr>
          <w:caps/>
        </w:rPr>
        <w:t>LONG-DISTANCE</w:t>
      </w:r>
      <w:r>
        <w:rPr>
          <w:caps/>
        </w:rPr>
        <w:t xml:space="preserve"> coach class (or equivalent) travel (transportation, lodging and meals) authorized in writing by Company in advance, and (2) payable </w:t>
      </w:r>
      <w:r w:rsidR="00EC6025">
        <w:t xml:space="preserve">___ </w:t>
      </w:r>
      <w:r>
        <w:rPr>
          <w:caps/>
        </w:rPr>
        <w:t>days after itemized invoice and delivery of receipts).</w:t>
      </w:r>
    </w:p>
    <w:p w14:paraId="76983590" w14:textId="77777777" w:rsidR="00EC6025" w:rsidRDefault="00660540" w:rsidP="00660540">
      <w:pPr>
        <w:spacing w:after="240"/>
        <w:jc w:val="both"/>
      </w:pPr>
      <w:r w:rsidRPr="00B06596">
        <w:rPr>
          <w:b/>
          <w:u w:val="single"/>
        </w:rPr>
        <w:t>STOCK</w:t>
      </w:r>
      <w:r w:rsidR="00295B4D">
        <w:rPr>
          <w:b/>
          <w:u w:val="single"/>
        </w:rPr>
        <w:t xml:space="preserve"> </w:t>
      </w:r>
      <w:r w:rsidRPr="00B06596">
        <w:rPr>
          <w:b/>
          <w:u w:val="single"/>
        </w:rPr>
        <w:t>OPTIONS</w:t>
      </w:r>
      <w:r w:rsidR="00295B4D">
        <w:t xml:space="preserve"> </w:t>
      </w:r>
      <w:r w:rsidRPr="00B06596">
        <w:t xml:space="preserve">  </w:t>
      </w:r>
    </w:p>
    <w:p w14:paraId="01CB4E59" w14:textId="39554DDB" w:rsidR="00660540" w:rsidRPr="00295B4D" w:rsidRDefault="00660540" w:rsidP="00660540">
      <w:pPr>
        <w:spacing w:after="240"/>
        <w:jc w:val="both"/>
        <w:rPr>
          <w:b/>
          <w:u w:val="single"/>
        </w:rPr>
      </w:pPr>
      <w:r w:rsidRPr="00B06596">
        <w:t>Subject to the approval of Company’s Board of Directors and the terms and conditions of Company’s</w:t>
      </w:r>
      <w:r w:rsidR="00EC6025">
        <w:t xml:space="preserve"> </w:t>
      </w:r>
      <w:r w:rsidRPr="00B06596">
        <w:t>Stock Plan (the “Plan</w:t>
      </w:r>
      <w:r w:rsidR="00EC6025">
        <w:t xml:space="preserve"> </w:t>
      </w:r>
      <w:r w:rsidRPr="00B06596">
        <w:t xml:space="preserve">and the applicable stock option agreement and the terms of the Stock Purchase Agreement attached hereto as </w:t>
      </w:r>
      <w:r w:rsidRPr="00B06596">
        <w:rPr>
          <w:u w:val="single"/>
        </w:rPr>
        <w:t xml:space="preserve">Exhibit </w:t>
      </w:r>
      <w:r w:rsidRPr="00AA1886">
        <w:rPr>
          <w:u w:val="single"/>
        </w:rPr>
        <w:t>C</w:t>
      </w:r>
      <w:r w:rsidR="00EC6025">
        <w:rPr>
          <w:u w:val="single"/>
        </w:rPr>
        <w:t xml:space="preserve"> </w:t>
      </w:r>
      <w:r w:rsidR="00EC6025">
        <w:t xml:space="preserve">or </w:t>
      </w:r>
      <w:r w:rsidR="00EC6025" w:rsidRPr="00AA1886">
        <w:rPr>
          <w:u w:val="single"/>
        </w:rPr>
        <w:t>B</w:t>
      </w:r>
      <w:r w:rsidR="00EC6025">
        <w:t>),</w:t>
      </w:r>
      <w:r w:rsidRPr="00B06596">
        <w:t xml:space="preserve"> Consultant shall be granted an option to </w:t>
      </w:r>
      <w:r w:rsidR="00EC6025" w:rsidRPr="00B06596">
        <w:t xml:space="preserve">purchase </w:t>
      </w:r>
      <w:r w:rsidR="00EC6025">
        <w:t>the</w:t>
      </w:r>
      <w:r w:rsidRPr="00B06596">
        <w:t xml:space="preserve"> number of shares of Company’s Common Stock (as currently constituted) indicated below (if any), subject to vesting and repurchase rights as set forth in the applicable agreement.  The </w:t>
      </w:r>
      <w:r w:rsidR="00EC6025">
        <w:t xml:space="preserve">Stock Options </w:t>
      </w:r>
      <w:r w:rsidRPr="00B06596">
        <w:t>exercise</w:t>
      </w:r>
      <w:r w:rsidR="00EC6025">
        <w:t xml:space="preserve"> </w:t>
      </w:r>
      <w:r w:rsidR="00EC6025" w:rsidRPr="00B06596">
        <w:t>purchase</w:t>
      </w:r>
      <w:r w:rsidR="00EC6025">
        <w:t xml:space="preserve"> </w:t>
      </w:r>
      <w:r w:rsidR="00EC6025" w:rsidRPr="00B06596">
        <w:t>price</w:t>
      </w:r>
      <w:r w:rsidRPr="00B06596">
        <w:t xml:space="preserve"> per share shall be equal to the fair market value per share on the date of the grant</w:t>
      </w:r>
      <w:r w:rsidR="00EC6025">
        <w:t xml:space="preserve"> </w:t>
      </w:r>
      <w:r w:rsidRPr="00B06596">
        <w:t xml:space="preserve">the option is </w:t>
      </w:r>
      <w:r w:rsidR="00EC6025" w:rsidRPr="00B06596">
        <w:t>granted</w:t>
      </w:r>
      <w:r w:rsidR="00EC6025">
        <w:t>.</w:t>
      </w:r>
      <w:r w:rsidRPr="00B06596">
        <w:t xml:space="preserve"> </w:t>
      </w:r>
    </w:p>
    <w:p w14:paraId="37CB07D1" w14:textId="6B4D2D42" w:rsidR="000B41BB" w:rsidRDefault="00660540" w:rsidP="00660540">
      <w:pPr>
        <w:spacing w:after="240"/>
        <w:jc w:val="both"/>
      </w:pPr>
      <w:r w:rsidRPr="00B06596">
        <w:t>Number of shares:</w:t>
      </w:r>
      <w:r w:rsidR="00EC6025">
        <w:t xml:space="preserve"> ___</w:t>
      </w:r>
    </w:p>
    <w:p w14:paraId="2E393F0C" w14:textId="22FEA78A" w:rsidR="00A15A8A" w:rsidRPr="00660540" w:rsidRDefault="00A15A8A" w:rsidP="00A15A8A"/>
    <w:sectPr w:rsidR="00A15A8A" w:rsidRPr="00660540" w:rsidSect="00A45E55">
      <w:footerReference w:type="even" r:id="rId7"/>
      <w:footerReference w:type="default" r:id="rId8"/>
      <w:footerReference w:type="first" r:id="rId9"/>
      <w:endnotePr>
        <w:numFmt w:val="decimal"/>
      </w:endnotePr>
      <w:pgSz w:w="12240" w:h="15840"/>
      <w:pgMar w:top="720" w:right="1440" w:bottom="90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C4D14" w14:textId="77777777" w:rsidR="00E1016D" w:rsidRDefault="00E1016D">
      <w:pPr>
        <w:suppressAutoHyphens w:val="0"/>
        <w:spacing w:line="20" w:lineRule="exact"/>
        <w:rPr>
          <w:rFonts w:ascii="Courier New" w:hAnsi="Courier New"/>
        </w:rPr>
      </w:pPr>
    </w:p>
  </w:endnote>
  <w:endnote w:type="continuationSeparator" w:id="0">
    <w:p w14:paraId="2F9DF9F6" w14:textId="77777777" w:rsidR="00E1016D" w:rsidRDefault="00E1016D">
      <w:r>
        <w:rPr>
          <w:rFonts w:ascii="Courier New" w:hAnsi="Courier New"/>
        </w:rPr>
        <w:t xml:space="preserve"> </w:t>
      </w:r>
    </w:p>
  </w:endnote>
  <w:endnote w:type="continuationNotice" w:id="1">
    <w:p w14:paraId="236EB581" w14:textId="77777777" w:rsidR="00E1016D" w:rsidRDefault="00E1016D">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07D9" w14:textId="77777777" w:rsidR="0081659C" w:rsidRPr="0081659C" w:rsidRDefault="0081659C" w:rsidP="0081659C">
    <w:pPr>
      <w:pStyle w:val="zDocID"/>
      <w:framePr w:wrap="around"/>
    </w:pPr>
    <w:r>
      <w:t>GDSVF&amp;H\</w:t>
    </w:r>
    <w:fldSimple w:instr=" DOCPROPERTY DocID  \* MERGEFORMAT ">
      <w:r>
        <w:t>4591057.2</w:t>
      </w:r>
    </w:fldSimple>
    <w:r>
      <w:rPr>
        <w:b/>
        <w:sz w:val="18"/>
      </w:rPr>
      <w:tab/>
    </w:r>
  </w:p>
  <w:p w14:paraId="37CB07DA" w14:textId="77777777" w:rsidR="00CC64B0" w:rsidRDefault="00CC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07DB" w14:textId="107035FC" w:rsidR="0081659C" w:rsidRPr="0081659C" w:rsidRDefault="00AE20A0" w:rsidP="0081659C">
    <w:pPr>
      <w:pStyle w:val="zDocID"/>
      <w:framePr w:wrap="around"/>
    </w:pPr>
    <w:r>
      <w:t>{{ TransactionReference }}</w:t>
    </w:r>
    <w:r w:rsidR="0081659C">
      <w:rPr>
        <w:b/>
        <w:sz w:val="18"/>
      </w:rPr>
      <w:tab/>
    </w:r>
  </w:p>
  <w:p w14:paraId="37CB07DC" w14:textId="77777777" w:rsidR="00CC64B0" w:rsidRDefault="00CC64B0">
    <w:pPr>
      <w:pStyle w:val="Footer"/>
      <w:spacing w:line="200" w:lineRule="exact"/>
      <w:rPr>
        <w:rStyle w:val="PageNumber"/>
      </w:rPr>
    </w:pPr>
    <w:r>
      <w:rPr>
        <w:vanish/>
      </w:rPr>
      <w:t>|</w:t>
    </w:r>
    <w:r>
      <w:tab/>
    </w:r>
    <w:r>
      <w:rPr>
        <w:rStyle w:val="PageNumber"/>
      </w:rPr>
      <w:fldChar w:fldCharType="begin"/>
    </w:r>
    <w:r>
      <w:rPr>
        <w:rStyle w:val="PageNumber"/>
      </w:rPr>
      <w:instrText xml:space="preserve"> PAGE </w:instrText>
    </w:r>
    <w:r>
      <w:rPr>
        <w:rStyle w:val="PageNumber"/>
      </w:rPr>
      <w:fldChar w:fldCharType="separate"/>
    </w:r>
    <w:r w:rsidR="005E51C8">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07DE" w14:textId="6C671DF9" w:rsidR="0081659C" w:rsidRPr="0081659C" w:rsidRDefault="00AE20A0" w:rsidP="0081659C">
    <w:pPr>
      <w:pStyle w:val="zDocID"/>
      <w:framePr w:wrap="around"/>
    </w:pPr>
    <w:r>
      <w:t>{{ TransactionReference }}</w:t>
    </w:r>
    <w:r w:rsidR="0081659C">
      <w:rPr>
        <w:b/>
        <w:sz w:val="18"/>
      </w:rPr>
      <w:tab/>
    </w:r>
  </w:p>
  <w:p w14:paraId="37CB07DF" w14:textId="77777777" w:rsidR="00CC64B0" w:rsidRDefault="00CC64B0" w:rsidP="00CE2C11">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5D65" w14:textId="77777777" w:rsidR="00E1016D" w:rsidRDefault="00E1016D">
      <w:r>
        <w:rPr>
          <w:rFonts w:ascii="Courier New" w:hAnsi="Courier New"/>
        </w:rPr>
        <w:separator/>
      </w:r>
    </w:p>
  </w:footnote>
  <w:footnote w:type="continuationSeparator" w:id="0">
    <w:p w14:paraId="0E1AF1BE" w14:textId="77777777" w:rsidR="00E1016D" w:rsidRDefault="00E10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D00A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10E87FA"/>
    <w:lvl w:ilvl="0">
      <w:start w:val="1"/>
      <w:numFmt w:val="decimal"/>
      <w:pStyle w:val="Heading1"/>
      <w:lvlText w:val="%1."/>
      <w:legacy w:legacy="1" w:legacySpace="0" w:legacyIndent="720"/>
      <w:lvlJc w:val="left"/>
      <w:pPr>
        <w:ind w:left="0" w:hanging="720"/>
      </w:pPr>
      <w:rPr>
        <w:rFonts w:ascii="Times New Roman" w:hAnsi="Times New Roman" w:hint="default"/>
        <w:b w:val="0"/>
        <w:i w:val="0"/>
        <w:sz w:val="24"/>
      </w:rPr>
    </w:lvl>
    <w:lvl w:ilvl="1">
      <w:start w:val="1"/>
      <w:numFmt w:val="decimal"/>
      <w:pStyle w:val="Heading2"/>
      <w:lvlText w:val="%1.%2"/>
      <w:legacy w:legacy="1" w:legacySpace="0" w:legacyIndent="720"/>
      <w:lvlJc w:val="left"/>
      <w:pPr>
        <w:ind w:left="0" w:hanging="720"/>
      </w:pPr>
      <w:rPr>
        <w:rFonts w:ascii="Times New Roman" w:hAnsi="Times New Roman" w:hint="default"/>
        <w:b w:val="0"/>
        <w:i w:val="0"/>
        <w:sz w:val="24"/>
      </w:rPr>
    </w:lvl>
    <w:lvl w:ilvl="2">
      <w:start w:val="1"/>
      <w:numFmt w:val="lowerLetter"/>
      <w:pStyle w:val="Heading3"/>
      <w:lvlText w:val="(%3)"/>
      <w:legacy w:legacy="1" w:legacySpace="0" w:legacyIndent="720"/>
      <w:lvlJc w:val="left"/>
      <w:pPr>
        <w:ind w:left="0" w:hanging="720"/>
      </w:pPr>
      <w:rPr>
        <w:rFonts w:ascii="Times New Roman" w:hAnsi="Times New Roman" w:hint="default"/>
        <w:b w:val="0"/>
        <w:i w:val="0"/>
        <w:sz w:val="24"/>
      </w:rPr>
    </w:lvl>
    <w:lvl w:ilvl="3">
      <w:start w:val="1"/>
      <w:numFmt w:val="decimal"/>
      <w:pStyle w:val="Heading4"/>
      <w:lvlText w:val="(%4)"/>
      <w:legacy w:legacy="1" w:legacySpace="0" w:legacyIndent="720"/>
      <w:lvlJc w:val="left"/>
      <w:pPr>
        <w:ind w:left="0" w:hanging="720"/>
      </w:pPr>
      <w:rPr>
        <w:rFonts w:ascii="Times New Roman" w:hAnsi="Times New Roman" w:hint="default"/>
        <w:b w:val="0"/>
        <w:i w:val="0"/>
        <w:sz w:val="24"/>
      </w:rPr>
    </w:lvl>
    <w:lvl w:ilvl="4">
      <w:start w:val="1"/>
      <w:numFmt w:val="lowerLetter"/>
      <w:pStyle w:val="Heading5"/>
      <w:lvlText w:val="%5."/>
      <w:legacy w:legacy="1" w:legacySpace="0" w:legacyIndent="720"/>
      <w:lvlJc w:val="left"/>
      <w:pPr>
        <w:ind w:left="0" w:hanging="720"/>
      </w:pPr>
      <w:rPr>
        <w:rFonts w:ascii="Times New Roman" w:hAnsi="Times New Roman" w:hint="default"/>
        <w:b w:val="0"/>
        <w:i w:val="0"/>
        <w:sz w:val="24"/>
      </w:rPr>
    </w:lvl>
    <w:lvl w:ilvl="5">
      <w:start w:val="1"/>
      <w:numFmt w:val="decimal"/>
      <w:pStyle w:val="Heading6"/>
      <w:lvlText w:val="%5.%6."/>
      <w:legacy w:legacy="1" w:legacySpace="0" w:legacyIndent="720"/>
      <w:lvlJc w:val="left"/>
      <w:pPr>
        <w:ind w:left="4320" w:hanging="720"/>
      </w:pPr>
    </w:lvl>
    <w:lvl w:ilvl="6">
      <w:start w:val="1"/>
      <w:numFmt w:val="decimal"/>
      <w:pStyle w:val="Heading7"/>
      <w:lvlText w:val="%5.%6.%7."/>
      <w:legacy w:legacy="1" w:legacySpace="0" w:legacyIndent="720"/>
      <w:lvlJc w:val="left"/>
      <w:pPr>
        <w:ind w:left="5040" w:hanging="720"/>
      </w:pPr>
    </w:lvl>
    <w:lvl w:ilvl="7">
      <w:start w:val="1"/>
      <w:numFmt w:val="decimal"/>
      <w:pStyle w:val="Heading8"/>
      <w:lvlText w:val="%5.%6.%7.%8."/>
      <w:legacy w:legacy="1" w:legacySpace="0" w:legacyIndent="720"/>
      <w:lvlJc w:val="left"/>
      <w:pPr>
        <w:ind w:left="5760" w:hanging="720"/>
      </w:pPr>
    </w:lvl>
    <w:lvl w:ilvl="8">
      <w:start w:val="1"/>
      <w:numFmt w:val="decimal"/>
      <w:pStyle w:val="Heading9"/>
      <w:lvlText w:val="%5.%6.%7.%8.%9."/>
      <w:legacy w:legacy="1" w:legacySpace="0" w:legacyIndent="720"/>
      <w:lvlJc w:val="left"/>
      <w:pPr>
        <w:ind w:left="6480" w:hanging="720"/>
      </w:pPr>
    </w:lvl>
  </w:abstractNum>
  <w:num w:numId="1" w16cid:durableId="81463080">
    <w:abstractNumId w:val="1"/>
  </w:num>
  <w:num w:numId="2" w16cid:durableId="1842621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railer" w:val="draft"/>
  </w:docVars>
  <w:rsids>
    <w:rsidRoot w:val="00403EE7"/>
    <w:rsid w:val="00002125"/>
    <w:rsid w:val="00027EC4"/>
    <w:rsid w:val="00030381"/>
    <w:rsid w:val="000B41BB"/>
    <w:rsid w:val="000F5245"/>
    <w:rsid w:val="001325BD"/>
    <w:rsid w:val="00185DB0"/>
    <w:rsid w:val="002457E3"/>
    <w:rsid w:val="00264A9F"/>
    <w:rsid w:val="00281192"/>
    <w:rsid w:val="00295B4D"/>
    <w:rsid w:val="003544A5"/>
    <w:rsid w:val="003E2536"/>
    <w:rsid w:val="00403EE7"/>
    <w:rsid w:val="004153BA"/>
    <w:rsid w:val="00427022"/>
    <w:rsid w:val="004362A3"/>
    <w:rsid w:val="00472E2B"/>
    <w:rsid w:val="00473A91"/>
    <w:rsid w:val="00485601"/>
    <w:rsid w:val="00486943"/>
    <w:rsid w:val="004C3473"/>
    <w:rsid w:val="0054266B"/>
    <w:rsid w:val="0054676C"/>
    <w:rsid w:val="005B42EF"/>
    <w:rsid w:val="005E51C8"/>
    <w:rsid w:val="00601EB4"/>
    <w:rsid w:val="00660540"/>
    <w:rsid w:val="006679B4"/>
    <w:rsid w:val="00736178"/>
    <w:rsid w:val="00800C79"/>
    <w:rsid w:val="0081659C"/>
    <w:rsid w:val="00857AA0"/>
    <w:rsid w:val="00865248"/>
    <w:rsid w:val="008D3DC2"/>
    <w:rsid w:val="009624C8"/>
    <w:rsid w:val="00973423"/>
    <w:rsid w:val="00987E21"/>
    <w:rsid w:val="009D5C0D"/>
    <w:rsid w:val="009D7222"/>
    <w:rsid w:val="009E5AC3"/>
    <w:rsid w:val="009E6071"/>
    <w:rsid w:val="009F0283"/>
    <w:rsid w:val="00A15A8A"/>
    <w:rsid w:val="00A36222"/>
    <w:rsid w:val="00A45E55"/>
    <w:rsid w:val="00A479B2"/>
    <w:rsid w:val="00A7040E"/>
    <w:rsid w:val="00AD1BA3"/>
    <w:rsid w:val="00AD4E94"/>
    <w:rsid w:val="00AE20A0"/>
    <w:rsid w:val="00AE33EB"/>
    <w:rsid w:val="00AF1732"/>
    <w:rsid w:val="00B31869"/>
    <w:rsid w:val="00BB112E"/>
    <w:rsid w:val="00C430A9"/>
    <w:rsid w:val="00C454C9"/>
    <w:rsid w:val="00CB6951"/>
    <w:rsid w:val="00CC0DC0"/>
    <w:rsid w:val="00CC64B0"/>
    <w:rsid w:val="00CD165B"/>
    <w:rsid w:val="00CE2C11"/>
    <w:rsid w:val="00D111A8"/>
    <w:rsid w:val="00D17528"/>
    <w:rsid w:val="00D70D58"/>
    <w:rsid w:val="00D978BA"/>
    <w:rsid w:val="00DA24CC"/>
    <w:rsid w:val="00DC28E2"/>
    <w:rsid w:val="00E1016D"/>
    <w:rsid w:val="00E625F6"/>
    <w:rsid w:val="00EC6025"/>
    <w:rsid w:val="00F44038"/>
    <w:rsid w:val="00F66446"/>
    <w:rsid w:val="00F77ED3"/>
    <w:rsid w:val="00FC23F4"/>
    <w:rsid w:val="00FE7788"/>
    <w:rsid w:val="00FF2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CB07BA"/>
  <w15:docId w15:val="{9AEBD48A-825C-5A4C-9282-C9B73588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paragraph" w:styleId="Heading1">
    <w:name w:val="heading 1"/>
    <w:basedOn w:val="Normal"/>
    <w:next w:val="Heading2"/>
    <w:qFormat/>
    <w:pPr>
      <w:keepNext/>
      <w:numPr>
        <w:numId w:val="1"/>
      </w:numPr>
      <w:spacing w:after="240"/>
      <w:ind w:firstLine="1440"/>
      <w:jc w:val="both"/>
      <w:outlineLvl w:val="0"/>
    </w:pPr>
  </w:style>
  <w:style w:type="paragraph" w:styleId="Heading2">
    <w:name w:val="heading 2"/>
    <w:basedOn w:val="Normal"/>
    <w:next w:val="Normal"/>
    <w:qFormat/>
    <w:pPr>
      <w:numPr>
        <w:ilvl w:val="1"/>
        <w:numId w:val="1"/>
      </w:numPr>
      <w:spacing w:after="240"/>
      <w:ind w:firstLine="2160"/>
      <w:jc w:val="both"/>
      <w:outlineLvl w:val="1"/>
    </w:pPr>
  </w:style>
  <w:style w:type="paragraph" w:styleId="Heading3">
    <w:name w:val="heading 3"/>
    <w:basedOn w:val="Normal"/>
    <w:next w:val="Normal"/>
    <w:qFormat/>
    <w:pPr>
      <w:numPr>
        <w:ilvl w:val="2"/>
        <w:numId w:val="1"/>
      </w:numPr>
      <w:suppressAutoHyphens w:val="0"/>
      <w:spacing w:after="240"/>
      <w:ind w:firstLine="1440"/>
      <w:jc w:val="both"/>
      <w:outlineLvl w:val="2"/>
    </w:pPr>
  </w:style>
  <w:style w:type="paragraph" w:styleId="Heading4">
    <w:name w:val="heading 4"/>
    <w:basedOn w:val="Normal"/>
    <w:next w:val="Normal"/>
    <w:qFormat/>
    <w:pPr>
      <w:numPr>
        <w:ilvl w:val="3"/>
        <w:numId w:val="1"/>
      </w:numPr>
      <w:suppressAutoHyphens w:val="0"/>
      <w:spacing w:after="240"/>
      <w:ind w:firstLine="2160"/>
      <w:jc w:val="both"/>
      <w:outlineLvl w:val="3"/>
    </w:pPr>
  </w:style>
  <w:style w:type="paragraph" w:styleId="Heading5">
    <w:name w:val="heading 5"/>
    <w:basedOn w:val="Normal"/>
    <w:next w:val="Normal"/>
    <w:qFormat/>
    <w:pPr>
      <w:numPr>
        <w:ilvl w:val="4"/>
        <w:numId w:val="1"/>
      </w:numPr>
      <w:suppressAutoHyphens w:val="0"/>
      <w:spacing w:after="240"/>
      <w:ind w:firstLine="2160"/>
      <w:jc w:val="both"/>
      <w:outlineLvl w:val="4"/>
    </w:pPr>
  </w:style>
  <w:style w:type="paragraph" w:styleId="Heading6">
    <w:name w:val="heading 6"/>
    <w:basedOn w:val="Normal"/>
    <w:next w:val="Normal"/>
    <w:qFormat/>
    <w:pPr>
      <w:numPr>
        <w:ilvl w:val="5"/>
        <w:numId w:val="1"/>
      </w:numPr>
      <w:suppressAutoHyphens w:val="0"/>
      <w:outlineLvl w:val="5"/>
    </w:pPr>
    <w:rPr>
      <w:rFonts w:ascii="Courier New" w:hAnsi="Courier New"/>
    </w:rPr>
  </w:style>
  <w:style w:type="paragraph" w:styleId="Heading7">
    <w:name w:val="heading 7"/>
    <w:basedOn w:val="Normal"/>
    <w:next w:val="Normal"/>
    <w:qFormat/>
    <w:pPr>
      <w:numPr>
        <w:ilvl w:val="6"/>
        <w:numId w:val="1"/>
      </w:numPr>
      <w:suppressAutoHyphens w:val="0"/>
      <w:outlineLvl w:val="6"/>
    </w:pPr>
    <w:rPr>
      <w:rFonts w:ascii="Courier New" w:hAnsi="Courier New"/>
    </w:rPr>
  </w:style>
  <w:style w:type="paragraph" w:styleId="Heading8">
    <w:name w:val="heading 8"/>
    <w:basedOn w:val="Normal"/>
    <w:next w:val="Normal"/>
    <w:qFormat/>
    <w:pPr>
      <w:numPr>
        <w:ilvl w:val="7"/>
        <w:numId w:val="1"/>
      </w:numPr>
      <w:suppressAutoHyphens w:val="0"/>
      <w:outlineLvl w:val="7"/>
    </w:pPr>
    <w:rPr>
      <w:rFonts w:ascii="Courier New" w:hAnsi="Courier New"/>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suppressAutoHyphens w:val="0"/>
    </w:pPr>
    <w:rPr>
      <w:rFonts w:ascii="Courier New" w:hAnsi="Courier New"/>
    </w:rPr>
  </w:style>
  <w:style w:type="character" w:styleId="EndnoteReference">
    <w:name w:val="endnote reference"/>
    <w:semiHidden/>
    <w:rPr>
      <w:vertAlign w:val="superscript"/>
    </w:rPr>
  </w:style>
  <w:style w:type="paragraph" w:styleId="FootnoteText">
    <w:name w:val="footnote text"/>
    <w:basedOn w:val="Normal"/>
    <w:semiHidden/>
    <w:pPr>
      <w:suppressAutoHyphens w:val="0"/>
    </w:pPr>
    <w:rPr>
      <w:rFonts w:ascii="Courier New" w:hAnsi="Courier New"/>
    </w:rPr>
  </w:style>
  <w:style w:type="character" w:styleId="FootnoteReference">
    <w:name w:val="footnote reference"/>
    <w:semiHidden/>
    <w:rPr>
      <w:vertAlign w:val="superscript"/>
    </w:rPr>
  </w:style>
  <w:style w:type="paragraph" w:customStyle="1" w:styleId="Bod">
    <w:name w:val="Bod"/>
    <w:basedOn w:val="Normal"/>
    <w:pPr>
      <w:spacing w:after="240"/>
      <w:ind w:firstLine="1440"/>
      <w:jc w:val="both"/>
    </w:pPr>
  </w:style>
  <w:style w:type="character" w:styleId="PageNumber">
    <w:name w:val="page number"/>
    <w:rPr>
      <w:rFonts w:ascii="Times New Roman" w:hAnsi="Times New Roman"/>
      <w:sz w:val="24"/>
    </w:rPr>
  </w:style>
  <w:style w:type="paragraph" w:styleId="Footer">
    <w:name w:val="footer"/>
    <w:basedOn w:val="Normal"/>
    <w:pPr>
      <w:tabs>
        <w:tab w:val="center" w:pos="4680"/>
        <w:tab w:val="right" w:pos="9360"/>
      </w:tabs>
    </w:pPr>
    <w:rPr>
      <w:sz w:val="16"/>
    </w:rPr>
  </w:style>
  <w:style w:type="paragraph" w:styleId="Header">
    <w:name w:val="header"/>
    <w:basedOn w:val="Normal"/>
    <w:pPr>
      <w:tabs>
        <w:tab w:val="left" w:pos="4320"/>
        <w:tab w:val="left" w:pos="8640"/>
      </w:tabs>
    </w:pPr>
  </w:style>
  <w:style w:type="paragraph" w:customStyle="1" w:styleId="COMMENT">
    <w:name w:val="COMMENT"/>
    <w:basedOn w:val="Bod"/>
    <w:pPr>
      <w:ind w:left="720" w:right="720" w:firstLine="0"/>
    </w:pPr>
    <w:rPr>
      <w:i/>
    </w:rPr>
  </w:style>
  <w:style w:type="paragraph" w:styleId="Title">
    <w:name w:val="Title"/>
    <w:basedOn w:val="Normal"/>
    <w:qFormat/>
    <w:pPr>
      <w:spacing w:after="600"/>
      <w:jc w:val="center"/>
    </w:pPr>
    <w:rPr>
      <w:b/>
    </w:rPr>
  </w:style>
  <w:style w:type="paragraph" w:customStyle="1" w:styleId="zDocID">
    <w:name w:val="zDocID"/>
    <w:rsid w:val="0081659C"/>
    <w:pPr>
      <w:framePr w:w="10800" w:wrap="around" w:vAnchor="text" w:hAnchor="page" w:x="721" w:y="1" w:anchorLock="1"/>
      <w:tabs>
        <w:tab w:val="right" w:pos="10800"/>
      </w:tabs>
    </w:pPr>
    <w:rPr>
      <w:noProof/>
      <w:sz w:val="16"/>
      <w:szCs w:val="22"/>
    </w:rPr>
  </w:style>
  <w:style w:type="paragraph" w:styleId="DocumentMap">
    <w:name w:val="Document Map"/>
    <w:basedOn w:val="Normal"/>
    <w:semiHidden/>
    <w:rsid w:val="00185DB0"/>
    <w:pPr>
      <w:shd w:val="clear" w:color="auto" w:fill="000080"/>
    </w:pPr>
    <w:rPr>
      <w:rFonts w:ascii="Tahoma" w:hAnsi="Tahoma" w:cs="Tahoma"/>
    </w:rPr>
  </w:style>
  <w:style w:type="character" w:customStyle="1" w:styleId="zcDocID">
    <w:name w:val="zcDocID"/>
    <w:rsid w:val="00D17528"/>
    <w:rPr>
      <w:rFonts w:ascii="Times New Roman" w:hAnsi="Times New Roman" w:cs="Times New Roman"/>
      <w:b w:val="0"/>
      <w:i w:val="0"/>
      <w:caps w:val="0"/>
      <w:smallCaps w:val="0"/>
      <w:strike w:val="0"/>
      <w:dstrike w:val="0"/>
      <w:outline w:val="0"/>
      <w:shadow w:val="0"/>
      <w:emboss w:val="0"/>
      <w:imprint w:val="0"/>
      <w:noProof/>
      <w:vanish w:val="0"/>
      <w:color w:val="auto"/>
      <w:w w:val="100"/>
      <w:kern w:val="0"/>
      <w:sz w:val="16"/>
      <w:szCs w:val="22"/>
      <w:u w:val="none"/>
      <w:effect w:val="none"/>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rsid w:val="00DC28E2"/>
    <w:rPr>
      <w:rFonts w:ascii="Tahoma" w:hAnsi="Tahoma" w:cs="Tahoma"/>
      <w:sz w:val="16"/>
      <w:szCs w:val="16"/>
    </w:rPr>
  </w:style>
  <w:style w:type="character" w:customStyle="1" w:styleId="BalloonTextChar">
    <w:name w:val="Balloon Text Char"/>
    <w:basedOn w:val="DefaultParagraphFont"/>
    <w:link w:val="BalloonText"/>
    <w:rsid w:val="00DC28E2"/>
    <w:rPr>
      <w:rFonts w:ascii="Tahoma" w:hAnsi="Tahoma" w:cs="Tahoma"/>
      <w:sz w:val="16"/>
      <w:szCs w:val="16"/>
    </w:rPr>
  </w:style>
  <w:style w:type="paragraph" w:styleId="Revision">
    <w:name w:val="Revision"/>
    <w:hidden/>
    <w:uiPriority w:val="71"/>
    <w:semiHidden/>
    <w:rsid w:val="00FC23F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2769">
      <w:bodyDiv w:val="1"/>
      <w:marLeft w:val="0"/>
      <w:marRight w:val="0"/>
      <w:marTop w:val="0"/>
      <w:marBottom w:val="0"/>
      <w:divBdr>
        <w:top w:val="none" w:sz="0" w:space="0" w:color="auto"/>
        <w:left w:val="none" w:sz="0" w:space="0" w:color="auto"/>
        <w:bottom w:val="none" w:sz="0" w:space="0" w:color="auto"/>
        <w:right w:val="none" w:sz="0" w:space="0" w:color="auto"/>
      </w:divBdr>
    </w:div>
    <w:div w:id="108663914">
      <w:bodyDiv w:val="1"/>
      <w:marLeft w:val="0"/>
      <w:marRight w:val="0"/>
      <w:marTop w:val="0"/>
      <w:marBottom w:val="0"/>
      <w:divBdr>
        <w:top w:val="none" w:sz="0" w:space="0" w:color="auto"/>
        <w:left w:val="none" w:sz="0" w:space="0" w:color="auto"/>
        <w:bottom w:val="none" w:sz="0" w:space="0" w:color="auto"/>
        <w:right w:val="none" w:sz="0" w:space="0" w:color="auto"/>
      </w:divBdr>
    </w:div>
    <w:div w:id="386270373">
      <w:bodyDiv w:val="1"/>
      <w:marLeft w:val="0"/>
      <w:marRight w:val="0"/>
      <w:marTop w:val="0"/>
      <w:marBottom w:val="0"/>
      <w:divBdr>
        <w:top w:val="none" w:sz="0" w:space="0" w:color="auto"/>
        <w:left w:val="none" w:sz="0" w:space="0" w:color="auto"/>
        <w:bottom w:val="none" w:sz="0" w:space="0" w:color="auto"/>
        <w:right w:val="none" w:sz="0" w:space="0" w:color="auto"/>
      </w:divBdr>
    </w:div>
    <w:div w:id="563638856">
      <w:bodyDiv w:val="1"/>
      <w:marLeft w:val="0"/>
      <w:marRight w:val="0"/>
      <w:marTop w:val="0"/>
      <w:marBottom w:val="0"/>
      <w:divBdr>
        <w:top w:val="none" w:sz="0" w:space="0" w:color="auto"/>
        <w:left w:val="none" w:sz="0" w:space="0" w:color="auto"/>
        <w:bottom w:val="none" w:sz="0" w:space="0" w:color="auto"/>
        <w:right w:val="none" w:sz="0" w:space="0" w:color="auto"/>
      </w:divBdr>
    </w:div>
    <w:div w:id="592781364">
      <w:bodyDiv w:val="1"/>
      <w:marLeft w:val="0"/>
      <w:marRight w:val="0"/>
      <w:marTop w:val="0"/>
      <w:marBottom w:val="0"/>
      <w:divBdr>
        <w:top w:val="none" w:sz="0" w:space="0" w:color="auto"/>
        <w:left w:val="none" w:sz="0" w:space="0" w:color="auto"/>
        <w:bottom w:val="none" w:sz="0" w:space="0" w:color="auto"/>
        <w:right w:val="none" w:sz="0" w:space="0" w:color="auto"/>
      </w:divBdr>
    </w:div>
    <w:div w:id="712733171">
      <w:bodyDiv w:val="1"/>
      <w:marLeft w:val="0"/>
      <w:marRight w:val="0"/>
      <w:marTop w:val="0"/>
      <w:marBottom w:val="0"/>
      <w:divBdr>
        <w:top w:val="none" w:sz="0" w:space="0" w:color="auto"/>
        <w:left w:val="none" w:sz="0" w:space="0" w:color="auto"/>
        <w:bottom w:val="none" w:sz="0" w:space="0" w:color="auto"/>
        <w:right w:val="none" w:sz="0" w:space="0" w:color="auto"/>
      </w:divBdr>
    </w:div>
    <w:div w:id="722678822">
      <w:bodyDiv w:val="1"/>
      <w:marLeft w:val="0"/>
      <w:marRight w:val="0"/>
      <w:marTop w:val="0"/>
      <w:marBottom w:val="0"/>
      <w:divBdr>
        <w:top w:val="none" w:sz="0" w:space="0" w:color="auto"/>
        <w:left w:val="none" w:sz="0" w:space="0" w:color="auto"/>
        <w:bottom w:val="none" w:sz="0" w:space="0" w:color="auto"/>
        <w:right w:val="none" w:sz="0" w:space="0" w:color="auto"/>
      </w:divBdr>
    </w:div>
    <w:div w:id="1104618667">
      <w:bodyDiv w:val="1"/>
      <w:marLeft w:val="0"/>
      <w:marRight w:val="0"/>
      <w:marTop w:val="0"/>
      <w:marBottom w:val="0"/>
      <w:divBdr>
        <w:top w:val="none" w:sz="0" w:space="0" w:color="auto"/>
        <w:left w:val="none" w:sz="0" w:space="0" w:color="auto"/>
        <w:bottom w:val="none" w:sz="0" w:space="0" w:color="auto"/>
        <w:right w:val="none" w:sz="0" w:space="0" w:color="auto"/>
      </w:divBdr>
    </w:div>
    <w:div w:id="1588228460">
      <w:bodyDiv w:val="1"/>
      <w:marLeft w:val="0"/>
      <w:marRight w:val="0"/>
      <w:marTop w:val="0"/>
      <w:marBottom w:val="0"/>
      <w:divBdr>
        <w:top w:val="none" w:sz="0" w:space="0" w:color="auto"/>
        <w:left w:val="none" w:sz="0" w:space="0" w:color="auto"/>
        <w:bottom w:val="none" w:sz="0" w:space="0" w:color="auto"/>
        <w:right w:val="none" w:sz="0" w:space="0" w:color="auto"/>
      </w:divBdr>
    </w:div>
    <w:div w:id="1695305464">
      <w:bodyDiv w:val="1"/>
      <w:marLeft w:val="0"/>
      <w:marRight w:val="0"/>
      <w:marTop w:val="0"/>
      <w:marBottom w:val="0"/>
      <w:divBdr>
        <w:top w:val="none" w:sz="0" w:space="0" w:color="auto"/>
        <w:left w:val="none" w:sz="0" w:space="0" w:color="auto"/>
        <w:bottom w:val="none" w:sz="0" w:space="0" w:color="auto"/>
        <w:right w:val="none" w:sz="0" w:space="0" w:color="auto"/>
      </w:divBdr>
    </w:div>
    <w:div w:id="1854605638">
      <w:bodyDiv w:val="1"/>
      <w:marLeft w:val="0"/>
      <w:marRight w:val="0"/>
      <w:marTop w:val="0"/>
      <w:marBottom w:val="0"/>
      <w:divBdr>
        <w:top w:val="none" w:sz="0" w:space="0" w:color="auto"/>
        <w:left w:val="none" w:sz="0" w:space="0" w:color="auto"/>
        <w:bottom w:val="none" w:sz="0" w:space="0" w:color="auto"/>
        <w:right w:val="none" w:sz="0" w:space="0" w:color="auto"/>
      </w:divBdr>
    </w:div>
    <w:div w:id="1997607718">
      <w:bodyDiv w:val="1"/>
      <w:marLeft w:val="0"/>
      <w:marRight w:val="0"/>
      <w:marTop w:val="0"/>
      <w:marBottom w:val="0"/>
      <w:divBdr>
        <w:top w:val="none" w:sz="0" w:space="0" w:color="auto"/>
        <w:left w:val="none" w:sz="0" w:space="0" w:color="auto"/>
        <w:bottom w:val="none" w:sz="0" w:space="0" w:color="auto"/>
        <w:right w:val="none" w:sz="0" w:space="0" w:color="auto"/>
      </w:divBdr>
    </w:div>
    <w:div w:id="2032564750">
      <w:bodyDiv w:val="1"/>
      <w:marLeft w:val="0"/>
      <w:marRight w:val="0"/>
      <w:marTop w:val="0"/>
      <w:marBottom w:val="0"/>
      <w:divBdr>
        <w:top w:val="none" w:sz="0" w:space="0" w:color="auto"/>
        <w:left w:val="none" w:sz="0" w:space="0" w:color="auto"/>
        <w:bottom w:val="none" w:sz="0" w:space="0" w:color="auto"/>
        <w:right w:val="none" w:sz="0" w:space="0" w:color="auto"/>
      </w:divBdr>
    </w:div>
    <w:div w:id="209257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9D1B5F-77F1-1D45-9B32-9BC9B9459E99}">
  <we:reference id="wa200000676" version="2.9.0.0" store="en-US" storeType="OMEX"/>
  <we:alternateReferences>
    <we:reference id="WA200000676" version="2.9.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45</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CHAPTER 09 - SCIENTIFIC ADVISOR AGREEMENT</vt:lpstr>
    </vt:vector>
  </TitlesOfParts>
  <Company>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09 - SCIENTIFIC ADVISOR AGREEMENT</dc:title>
  <dc:subject/>
  <dc:creator>Thomas Villeneuve</dc:creator>
  <cp:keywords/>
  <dc:description/>
  <cp:lastModifiedBy>Eunice Mary Angeli A. Villanueva</cp:lastModifiedBy>
  <cp:revision>28</cp:revision>
  <cp:lastPrinted>1997-09-03T23:46:00Z</cp:lastPrinted>
  <dcterms:created xsi:type="dcterms:W3CDTF">2019-10-09T14:16:00Z</dcterms:created>
  <dcterms:modified xsi:type="dcterms:W3CDTF">2022-10-15T22:45:00Z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4591057.2</vt:lpwstr>
  </property>
</Properties>
</file>